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4F" w:rsidRPr="00815D4F" w:rsidRDefault="00815D4F" w:rsidP="00815D4F">
      <w:pPr>
        <w:keepNext/>
        <w:spacing w:before="100" w:beforeAutospacing="1" w:after="240" w:line="240" w:lineRule="auto"/>
        <w:ind w:left="720"/>
        <w:jc w:val="center"/>
        <w:rPr>
          <w:rFonts w:ascii="Verdana" w:eastAsia="Times New Roman" w:hAnsi="Verdana" w:cs="Times New Roman"/>
          <w:color w:val="000000"/>
          <w:sz w:val="18"/>
          <w:szCs w:val="18"/>
        </w:rPr>
      </w:pPr>
      <w:r w:rsidRPr="00815D4F">
        <w:rPr>
          <w:rFonts w:ascii="Century" w:eastAsia="Times New Roman" w:hAnsi="Century" w:cs="Times New Roman"/>
          <w:color w:val="008000"/>
          <w:sz w:val="68"/>
          <w:szCs w:val="68"/>
        </w:rPr>
        <w:t>World Civilization I-Online</w:t>
      </w:r>
      <w:bookmarkStart w:id="0" w:name="_GoBack"/>
      <w:bookmarkEnd w:id="0"/>
    </w:p>
    <w:p w:rsidR="00815D4F" w:rsidRPr="00815D4F" w:rsidRDefault="00815D4F" w:rsidP="00815D4F">
      <w:pPr>
        <w:keepNext/>
        <w:spacing w:before="100" w:beforeAutospacing="1" w:after="240" w:line="240" w:lineRule="auto"/>
        <w:ind w:left="720"/>
        <w:jc w:val="center"/>
        <w:rPr>
          <w:rFonts w:ascii="Verdana" w:eastAsia="Times New Roman" w:hAnsi="Verdana" w:cs="Times New Roman"/>
          <w:color w:val="000000"/>
          <w:sz w:val="18"/>
          <w:szCs w:val="18"/>
        </w:rPr>
      </w:pPr>
      <w:r w:rsidRPr="00815D4F">
        <w:rPr>
          <w:rFonts w:ascii="Century" w:eastAsia="Times New Roman" w:hAnsi="Century" w:cs="Times New Roman"/>
          <w:color w:val="008000"/>
          <w:sz w:val="68"/>
          <w:szCs w:val="68"/>
        </w:rPr>
        <w:t>Fall 2018</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0"/>
          <w:szCs w:val="20"/>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0"/>
          <w:szCs w:val="20"/>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Syllabus for HIS 121</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Professor: Richard Seckla</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E-mail: </w:t>
      </w:r>
      <w:hyperlink r:id="rId5" w:history="1">
        <w:r w:rsidRPr="00815D4F">
          <w:rPr>
            <w:rFonts w:ascii="Verdana" w:eastAsia="Times New Roman" w:hAnsi="Verdana" w:cs="Times New Roman"/>
            <w:color w:val="1874A4"/>
            <w:sz w:val="28"/>
            <w:szCs w:val="28"/>
          </w:rPr>
          <w:t>rseckla@trcc.commnet.edu</w:t>
        </w:r>
      </w:hyperlink>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The overall aim of this course is to develop an understanding of the history of the major world cultures by examining the major themes and movements that were occurring during this period. It is hoped that each student will gain a sense of where people have come from and what that could possibly mean for the future.  As the world moves towards a deeply integrated globalization, it is even more important to understand how different people are, and how similar they are.  Many historians and experts are still debating the ramifications of the most recent move towards globalization.  All, however, are in agreement that the only way to be successful within its context, is to understand as much as possible what it is all about.</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The study of history is an important component of a sound liberal arts education.  Here is one answer to the question, </w:t>
      </w:r>
      <w:hyperlink r:id="rId6" w:history="1">
        <w:r w:rsidRPr="00815D4F">
          <w:rPr>
            <w:rFonts w:ascii="Verdana" w:eastAsia="Times New Roman" w:hAnsi="Verdana" w:cs="Times New Roman"/>
            <w:color w:val="1874A4"/>
            <w:sz w:val="28"/>
            <w:szCs w:val="28"/>
          </w:rPr>
          <w:t>why study history?</w:t>
        </w:r>
      </w:hyperlink>
      <w:r w:rsidRPr="00815D4F">
        <w:rPr>
          <w:rFonts w:ascii="Verdana" w:eastAsia="Times New Roman" w:hAnsi="Verdana" w:cs="Times New Roman"/>
          <w:color w:val="000000"/>
          <w:sz w:val="28"/>
          <w:szCs w:val="28"/>
        </w:rPr>
        <w:t xml:space="preserve">  Another purpose of this course, and one </w:t>
      </w:r>
      <w:r w:rsidRPr="00815D4F">
        <w:rPr>
          <w:rFonts w:ascii="Verdana" w:eastAsia="Times New Roman" w:hAnsi="Verdana" w:cs="Times New Roman"/>
          <w:color w:val="000000"/>
          <w:sz w:val="28"/>
          <w:szCs w:val="28"/>
        </w:rPr>
        <w:lastRenderedPageBreak/>
        <w:t xml:space="preserve">I feel is equally important as those above, is that everyone involved has an enjoyable time. For this to happen it is necessary that everyone participate in the class and interact with one another.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The question is always asked: </w:t>
      </w:r>
      <w:hyperlink r:id="rId7" w:history="1">
        <w:r w:rsidRPr="00815D4F">
          <w:rPr>
            <w:rFonts w:ascii="Verdana" w:eastAsia="Times New Roman" w:hAnsi="Verdana" w:cs="Times New Roman"/>
            <w:color w:val="1874A4"/>
            <w:sz w:val="28"/>
            <w:szCs w:val="28"/>
          </w:rPr>
          <w:t>What can you do with history?</w:t>
        </w:r>
      </w:hyperlink>
      <w:r w:rsidRPr="00815D4F">
        <w:rPr>
          <w:rFonts w:ascii="Verdana" w:eastAsia="Times New Roman" w:hAnsi="Verdana" w:cs="Times New Roman"/>
          <w:color w:val="000000"/>
          <w:sz w:val="28"/>
          <w:szCs w:val="28"/>
        </w:rPr>
        <w:t xml:space="preserve">  An objective of this class is not only a knowledge of history, but to help the student develop a methodology of examining evidence and learning to report on it in a clear and concise manner. In the future you may have a boss who will ask you for a three-page report on a project you are in the middle of. You will have to examine the files, going through the data and finding the </w:t>
      </w:r>
      <w:r w:rsidRPr="00815D4F">
        <w:rPr>
          <w:rFonts w:ascii="Verdana" w:eastAsia="Times New Roman" w:hAnsi="Verdana" w:cs="Times New Roman"/>
          <w:color w:val="000000"/>
          <w:sz w:val="28"/>
          <w:szCs w:val="28"/>
          <w:u w:val="single"/>
        </w:rPr>
        <w:t>significance</w:t>
      </w:r>
      <w:r w:rsidRPr="00815D4F">
        <w:rPr>
          <w:rFonts w:ascii="Verdana" w:eastAsia="Times New Roman" w:hAnsi="Verdana" w:cs="Times New Roman"/>
          <w:color w:val="000000"/>
          <w:sz w:val="28"/>
          <w:szCs w:val="28"/>
        </w:rPr>
        <w:t>. This is what a historian does. So in a way, just about everyone can use historical methodologies on their job.</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0"/>
          <w:szCs w:val="20"/>
        </w:rPr>
        <w:t>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Course Description</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This course is a survey of world cultures that have contributed importantly to the development of Western and Eastern thought. Consideration is given to institutions and ideas from prehistoric times through the evolution of ancient civilizations to the formation of empires and modern nation states. Major economic, political, and social forces are examined for their influence upon modern society.</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Learning Outcomes</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A. Knowledge Outcomes. Students will learn to:</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lastRenderedPageBreak/>
        <w:t>1. Distinguish and characterize significant periods of historical experience in multiple societies from different parts of the globe.</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2. Describe events and developments in the history of multiple societies in terms of continuity, change and causation.</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3. Understand interpretive debates about the past.</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4. Appreciate the complexities involved in interpreting societies and social </w:t>
      </w:r>
      <w:proofErr w:type="spellStart"/>
      <w:r w:rsidRPr="00815D4F">
        <w:rPr>
          <w:rFonts w:ascii="Verdana" w:eastAsia="Times New Roman" w:hAnsi="Verdana" w:cs="Times New Roman"/>
          <w:color w:val="000000"/>
          <w:sz w:val="28"/>
          <w:szCs w:val="28"/>
        </w:rPr>
        <w:t>change</w:t>
      </w:r>
      <w:proofErr w:type="gramStart"/>
      <w:r w:rsidRPr="00815D4F">
        <w:rPr>
          <w:rFonts w:ascii="Verdana" w:eastAsia="Times New Roman" w:hAnsi="Verdana" w:cs="Times New Roman"/>
          <w:color w:val="000000"/>
          <w:sz w:val="28"/>
          <w:szCs w:val="28"/>
        </w:rPr>
        <w:t>,for</w:t>
      </w:r>
      <w:proofErr w:type="spellEnd"/>
      <w:proofErr w:type="gramEnd"/>
      <w:r w:rsidRPr="00815D4F">
        <w:rPr>
          <w:rFonts w:ascii="Verdana" w:eastAsia="Times New Roman" w:hAnsi="Verdana" w:cs="Times New Roman"/>
          <w:color w:val="000000"/>
          <w:sz w:val="28"/>
          <w:szCs w:val="28"/>
        </w:rPr>
        <w:t xml:space="preserve"> example, the local and the global, particular and general, contingent and structural.</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5. Identify different kinds of historical evidence and understand their role in the production of historical knowledge.</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B. Skills outcomes. Students will be able to:</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1. Read factual claims about the past and synthesize them into coherent interpretive arguments.</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2. Read documents closely and critically.</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3. Formulate a well-organized, well-supported argument.</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4. Demonstrate clear writing in the form of essays of varying length.</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5. Make cogent oral arguments about reading assignments.</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6. Conduct original research with primary sources.</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7. Locate good, relevant secondary scholarship, and distinguish from poor scholarship.</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lastRenderedPageBreak/>
        <w:t>8. Observe ethical practices of citation and intellectual self-presentation.</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26"/>
          <w:szCs w:val="26"/>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0"/>
          <w:szCs w:val="20"/>
        </w:rPr>
        <w:t>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Required Texts</w:t>
      </w:r>
      <w:r w:rsidRPr="00815D4F">
        <w:rPr>
          <w:rFonts w:ascii="Verdana" w:eastAsia="Times New Roman" w:hAnsi="Verdana" w:cs="Times New Roman"/>
          <w:color w:val="000000"/>
          <w:sz w:val="20"/>
          <w:szCs w:val="20"/>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The following book is available in the bookstore:</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Bentley, Jerry and Herbert Ziegler.  </w:t>
      </w:r>
      <w:r w:rsidRPr="00815D4F">
        <w:rPr>
          <w:rFonts w:ascii="Verdana" w:eastAsia="Times New Roman" w:hAnsi="Verdana" w:cs="Times New Roman"/>
          <w:i/>
          <w:iCs/>
          <w:color w:val="000000"/>
          <w:sz w:val="28"/>
          <w:szCs w:val="28"/>
        </w:rPr>
        <w:t>Traditions and Encounters: A Global Perspective on the Past, Volume I: From the Beginning to 1500</w:t>
      </w:r>
      <w:r w:rsidRPr="00815D4F">
        <w:rPr>
          <w:rFonts w:ascii="Verdana" w:eastAsia="Times New Roman" w:hAnsi="Verdana" w:cs="Times New Roman"/>
          <w:color w:val="000000"/>
          <w:sz w:val="28"/>
          <w:szCs w:val="28"/>
        </w:rPr>
        <w:t>.  Sixth Edition, 2015.</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Structure of the Course</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rPr>
        <w:t>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The Bentley/Ziegler text we are using is divided into four units; each unit will comprise two modules on Blackboard. Each module will be of five-seven days duration: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numPr>
          <w:ilvl w:val="0"/>
          <w:numId w:val="1"/>
        </w:numPr>
        <w:spacing w:before="100" w:beforeAutospacing="1" w:after="100" w:afterAutospacing="1" w:line="240" w:lineRule="auto"/>
        <w:ind w:left="1800"/>
        <w:rPr>
          <w:rFonts w:ascii="Verdana" w:eastAsia="Times New Roman" w:hAnsi="Verdana" w:cs="Times New Roman"/>
          <w:color w:val="000000"/>
          <w:sz w:val="18"/>
          <w:szCs w:val="18"/>
        </w:rPr>
      </w:pPr>
      <w:r w:rsidRPr="00815D4F">
        <w:rPr>
          <w:rFonts w:ascii="Verdana" w:eastAsia="Times New Roman" w:hAnsi="Verdana" w:cs="Times New Roman"/>
          <w:color w:val="990000"/>
          <w:sz w:val="28"/>
          <w:szCs w:val="28"/>
        </w:rPr>
        <w:t xml:space="preserve">The Early Complex Societies: Prehistory to 500 BCE </w:t>
      </w:r>
    </w:p>
    <w:p w:rsidR="00815D4F" w:rsidRPr="00815D4F" w:rsidRDefault="00815D4F" w:rsidP="00815D4F">
      <w:pPr>
        <w:spacing w:before="100" w:beforeAutospacing="1" w:after="240" w:line="240" w:lineRule="auto"/>
        <w:ind w:left="720" w:firstLine="72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1:  Chapters 1-3       August 28 - September 9                  </w:t>
      </w:r>
    </w:p>
    <w:p w:rsidR="00815D4F" w:rsidRPr="00815D4F" w:rsidRDefault="00815D4F" w:rsidP="00815D4F">
      <w:pPr>
        <w:keepNext/>
        <w:spacing w:before="100" w:beforeAutospacing="1" w:after="240" w:line="240" w:lineRule="auto"/>
        <w:ind w:left="144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2:  Chapters 4-6       September 10 - September 23</w:t>
      </w:r>
      <w:r w:rsidRPr="00815D4F">
        <w:rPr>
          <w:rFonts w:ascii="Century" w:eastAsia="Times New Roman" w:hAnsi="Century" w:cs="Times New Roman"/>
          <w:color w:val="000000"/>
          <w:sz w:val="18"/>
          <w:szCs w:val="18"/>
        </w:rPr>
        <w:t>                 </w:t>
      </w:r>
    </w:p>
    <w:p w:rsidR="00815D4F" w:rsidRPr="00815D4F" w:rsidRDefault="00815D4F" w:rsidP="00815D4F">
      <w:pPr>
        <w:numPr>
          <w:ilvl w:val="0"/>
          <w:numId w:val="2"/>
        </w:numPr>
        <w:spacing w:before="100" w:beforeAutospacing="1" w:after="100" w:afterAutospacing="1" w:line="240" w:lineRule="auto"/>
        <w:ind w:left="1800"/>
        <w:rPr>
          <w:rFonts w:ascii="Verdana" w:eastAsia="Times New Roman" w:hAnsi="Verdana" w:cs="Times New Roman"/>
          <w:color w:val="000000"/>
          <w:sz w:val="18"/>
          <w:szCs w:val="18"/>
        </w:rPr>
      </w:pPr>
      <w:r w:rsidRPr="00815D4F">
        <w:rPr>
          <w:rFonts w:ascii="Verdana" w:eastAsia="Times New Roman" w:hAnsi="Verdana" w:cs="Times New Roman"/>
          <w:color w:val="990000"/>
          <w:sz w:val="28"/>
          <w:szCs w:val="28"/>
        </w:rPr>
        <w:t>The Classical Period: 500 BCE to 500 CE</w:t>
      </w:r>
    </w:p>
    <w:p w:rsidR="00815D4F" w:rsidRPr="00815D4F" w:rsidRDefault="00815D4F" w:rsidP="00815D4F">
      <w:pPr>
        <w:spacing w:before="100" w:beforeAutospacing="1" w:after="240" w:line="240" w:lineRule="auto"/>
        <w:ind w:left="720" w:firstLine="720"/>
        <w:rPr>
          <w:rFonts w:ascii="Verdana" w:eastAsia="Times New Roman" w:hAnsi="Verdana" w:cs="Times New Roman"/>
          <w:color w:val="000000"/>
          <w:sz w:val="18"/>
          <w:szCs w:val="18"/>
        </w:rPr>
      </w:pPr>
      <w:r w:rsidRPr="00815D4F">
        <w:rPr>
          <w:rFonts w:ascii="Arial" w:eastAsia="Times New Roman" w:hAnsi="Arial" w:cs="Arial"/>
          <w:color w:val="000000"/>
          <w:sz w:val="36"/>
          <w:szCs w:val="36"/>
        </w:rPr>
        <w:lastRenderedPageBreak/>
        <w:t>Module 3:  Chapters 7-9       September 24 - October 7                  </w:t>
      </w:r>
    </w:p>
    <w:p w:rsidR="00815D4F" w:rsidRPr="00815D4F" w:rsidRDefault="00815D4F" w:rsidP="00815D4F">
      <w:pPr>
        <w:keepNext/>
        <w:spacing w:before="100" w:beforeAutospacing="1" w:after="240" w:line="240" w:lineRule="auto"/>
        <w:ind w:left="144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4:  Chapters 10-12   October 8 - October 21</w:t>
      </w:r>
    </w:p>
    <w:p w:rsidR="00815D4F" w:rsidRPr="00815D4F" w:rsidRDefault="00815D4F" w:rsidP="00815D4F">
      <w:pPr>
        <w:numPr>
          <w:ilvl w:val="0"/>
          <w:numId w:val="3"/>
        </w:numPr>
        <w:spacing w:before="100" w:beforeAutospacing="1" w:after="100" w:afterAutospacing="1" w:line="240" w:lineRule="auto"/>
        <w:ind w:left="1800"/>
        <w:rPr>
          <w:rFonts w:ascii="Verdana" w:eastAsia="Times New Roman" w:hAnsi="Verdana" w:cs="Times New Roman"/>
          <w:color w:val="000000"/>
          <w:sz w:val="18"/>
          <w:szCs w:val="18"/>
        </w:rPr>
      </w:pPr>
      <w:r w:rsidRPr="00815D4F">
        <w:rPr>
          <w:rFonts w:ascii="Verdana" w:eastAsia="Times New Roman" w:hAnsi="Verdana" w:cs="Times New Roman"/>
          <w:color w:val="990000"/>
          <w:sz w:val="28"/>
          <w:szCs w:val="28"/>
        </w:rPr>
        <w:t>The Post-Classical Period: 500 CE to 1000 CE</w:t>
      </w:r>
    </w:p>
    <w:p w:rsidR="00815D4F" w:rsidRPr="00815D4F" w:rsidRDefault="00815D4F" w:rsidP="00815D4F">
      <w:pPr>
        <w:spacing w:before="100" w:beforeAutospacing="1" w:after="240" w:line="240" w:lineRule="auto"/>
        <w:ind w:left="720" w:firstLine="72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5:  Chapters 13-14   October 22 - November 4                  </w:t>
      </w:r>
    </w:p>
    <w:p w:rsidR="00815D4F" w:rsidRPr="00815D4F" w:rsidRDefault="00815D4F" w:rsidP="00815D4F">
      <w:pPr>
        <w:keepNext/>
        <w:spacing w:before="100" w:beforeAutospacing="1" w:after="240" w:line="240" w:lineRule="auto"/>
        <w:ind w:left="144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6:  Chapters 15-16   November 5 - November 18</w:t>
      </w:r>
      <w:r w:rsidRPr="00815D4F">
        <w:rPr>
          <w:rFonts w:ascii="Verdana" w:eastAsia="Times New Roman" w:hAnsi="Verdana" w:cs="Times New Roman"/>
          <w:color w:val="000000"/>
          <w:sz w:val="18"/>
          <w:szCs w:val="18"/>
        </w:rPr>
        <w:t> </w:t>
      </w:r>
    </w:p>
    <w:p w:rsidR="00815D4F" w:rsidRPr="00815D4F" w:rsidRDefault="00815D4F" w:rsidP="00815D4F">
      <w:pPr>
        <w:numPr>
          <w:ilvl w:val="0"/>
          <w:numId w:val="4"/>
        </w:numPr>
        <w:spacing w:before="100" w:beforeAutospacing="1" w:after="100" w:afterAutospacing="1" w:line="240" w:lineRule="auto"/>
        <w:ind w:left="1800"/>
        <w:rPr>
          <w:rFonts w:ascii="Verdana" w:eastAsia="Times New Roman" w:hAnsi="Verdana" w:cs="Times New Roman"/>
          <w:color w:val="000000"/>
          <w:sz w:val="18"/>
          <w:szCs w:val="18"/>
        </w:rPr>
      </w:pPr>
      <w:r w:rsidRPr="00815D4F">
        <w:rPr>
          <w:rFonts w:ascii="Verdana" w:eastAsia="Times New Roman" w:hAnsi="Verdana" w:cs="Times New Roman"/>
          <w:color w:val="990000"/>
          <w:sz w:val="28"/>
          <w:szCs w:val="28"/>
        </w:rPr>
        <w:t>The Acceleration of Cross-Cultural Interactions: 1000 CE to 1500 CE</w:t>
      </w:r>
    </w:p>
    <w:p w:rsidR="00815D4F" w:rsidRPr="00815D4F" w:rsidRDefault="00815D4F" w:rsidP="00815D4F">
      <w:pPr>
        <w:spacing w:before="100" w:beforeAutospacing="1" w:after="240" w:line="240" w:lineRule="auto"/>
        <w:ind w:left="720" w:firstLine="72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7:  Chapters 17-18   November 19 - December 2                  </w:t>
      </w:r>
    </w:p>
    <w:p w:rsidR="00815D4F" w:rsidRPr="00815D4F" w:rsidRDefault="00815D4F" w:rsidP="00815D4F">
      <w:pPr>
        <w:keepNext/>
        <w:spacing w:before="100" w:beforeAutospacing="1" w:after="240" w:line="240" w:lineRule="auto"/>
        <w:ind w:left="1440"/>
        <w:rPr>
          <w:rFonts w:ascii="Verdana" w:eastAsia="Times New Roman" w:hAnsi="Verdana" w:cs="Times New Roman"/>
          <w:color w:val="000000"/>
          <w:sz w:val="18"/>
          <w:szCs w:val="18"/>
        </w:rPr>
      </w:pPr>
      <w:r w:rsidRPr="00815D4F">
        <w:rPr>
          <w:rFonts w:ascii="Arial" w:eastAsia="Times New Roman" w:hAnsi="Arial" w:cs="Arial"/>
          <w:color w:val="000000"/>
          <w:sz w:val="36"/>
          <w:szCs w:val="36"/>
        </w:rPr>
        <w:t>Module 8:  Chapters 19-21   December 3 - December 16</w:t>
      </w:r>
      <w:r w:rsidRPr="00815D4F">
        <w:rPr>
          <w:rFonts w:ascii="Century" w:eastAsia="Times New Roman" w:hAnsi="Century" w:cs="Times New Roman"/>
          <w:color w:val="000000"/>
          <w:sz w:val="18"/>
          <w:szCs w:val="18"/>
        </w:rPr>
        <w:t> </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26"/>
          <w:szCs w:val="26"/>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hd w:val="clear" w:color="auto" w:fill="F4F4F4"/>
        <w:spacing w:after="0" w:line="240" w:lineRule="auto"/>
        <w:ind w:left="720"/>
        <w:rPr>
          <w:rFonts w:ascii="Open Sans" w:eastAsia="Times New Roman" w:hAnsi="Open Sans" w:cs="Times New Roman"/>
          <w:color w:val="111111"/>
          <w:sz w:val="24"/>
          <w:szCs w:val="24"/>
        </w:rPr>
      </w:pPr>
      <w:r w:rsidRPr="00815D4F">
        <w:rPr>
          <w:rFonts w:ascii="inherit" w:eastAsia="Times New Roman" w:hAnsi="inherit" w:cs="Times New Roman"/>
          <w:color w:val="008080"/>
          <w:sz w:val="28"/>
          <w:szCs w:val="28"/>
          <w:u w:val="single"/>
        </w:rPr>
        <w:t>Method of Evaluation</w:t>
      </w:r>
    </w:p>
    <w:p w:rsidR="00815D4F" w:rsidRPr="00815D4F" w:rsidRDefault="00815D4F" w:rsidP="00815D4F">
      <w:pPr>
        <w:shd w:val="clear" w:color="auto" w:fill="F4F4F4"/>
        <w:spacing w:after="240" w:line="240" w:lineRule="auto"/>
        <w:ind w:left="720"/>
        <w:rPr>
          <w:rFonts w:ascii="Open Sans" w:eastAsia="Times New Roman" w:hAnsi="Open Sans" w:cs="Times New Roman"/>
          <w:color w:val="111111"/>
          <w:sz w:val="24"/>
          <w:szCs w:val="24"/>
        </w:rPr>
      </w:pPr>
    </w:p>
    <w:p w:rsidR="00815D4F" w:rsidRPr="00815D4F" w:rsidRDefault="00815D4F" w:rsidP="00815D4F">
      <w:pPr>
        <w:numPr>
          <w:ilvl w:val="0"/>
          <w:numId w:val="5"/>
        </w:numPr>
        <w:shd w:val="clear" w:color="auto" w:fill="F4F4F4"/>
        <w:spacing w:after="0" w:line="240" w:lineRule="auto"/>
        <w:ind w:left="1080"/>
        <w:rPr>
          <w:rFonts w:ascii="inherit" w:eastAsia="Times New Roman" w:hAnsi="inherit" w:cs="Times New Roman"/>
          <w:color w:val="111111"/>
          <w:sz w:val="20"/>
          <w:szCs w:val="20"/>
        </w:rPr>
      </w:pPr>
      <w:r w:rsidRPr="00815D4F">
        <w:rPr>
          <w:rFonts w:ascii="inherit" w:eastAsia="Times New Roman" w:hAnsi="inherit" w:cs="Times New Roman"/>
          <w:b/>
          <w:bCs/>
          <w:color w:val="990000"/>
          <w:sz w:val="28"/>
          <w:szCs w:val="28"/>
          <w:u w:val="single"/>
        </w:rPr>
        <w:t>Exams</w:t>
      </w:r>
      <w:r w:rsidRPr="00815D4F">
        <w:rPr>
          <w:rFonts w:ascii="inherit" w:eastAsia="Times New Roman" w:hAnsi="inherit" w:cs="Times New Roman"/>
          <w:color w:val="111111"/>
          <w:sz w:val="28"/>
          <w:szCs w:val="28"/>
        </w:rPr>
        <w:t>- An exam will issued that covers each </w:t>
      </w:r>
      <w:r w:rsidRPr="00815D4F">
        <w:rPr>
          <w:rFonts w:ascii="Open Sans" w:eastAsia="Times New Roman" w:hAnsi="Open Sans" w:cs="Times New Roman"/>
          <w:i/>
          <w:iCs/>
          <w:color w:val="111111"/>
          <w:sz w:val="28"/>
          <w:szCs w:val="28"/>
        </w:rPr>
        <w:t>unit</w:t>
      </w:r>
      <w:r w:rsidRPr="00815D4F">
        <w:rPr>
          <w:rFonts w:ascii="inherit" w:eastAsia="Times New Roman" w:hAnsi="inherit" w:cs="Times New Roman"/>
          <w:color w:val="111111"/>
          <w:sz w:val="28"/>
          <w:szCs w:val="28"/>
        </w:rPr>
        <w:t> and will be due at the end of modules 2, 4, 6, 8. Your examinations will be in essay format.  Material for examination purposes will come from a variety of sources: your readings, the websites assigned, any videos assigned, and the message board.  Each exam will have 5-7 essay questions; you are required to answer </w:t>
      </w:r>
      <w:r w:rsidRPr="00815D4F">
        <w:rPr>
          <w:rFonts w:ascii="Open Sans" w:eastAsia="Times New Roman" w:hAnsi="Open Sans" w:cs="Times New Roman"/>
          <w:i/>
          <w:iCs/>
          <w:color w:val="111111"/>
          <w:sz w:val="28"/>
          <w:szCs w:val="28"/>
        </w:rPr>
        <w:t>two</w:t>
      </w:r>
      <w:r w:rsidRPr="00815D4F">
        <w:rPr>
          <w:rFonts w:ascii="inherit" w:eastAsia="Times New Roman" w:hAnsi="inherit" w:cs="Times New Roman"/>
          <w:color w:val="111111"/>
          <w:sz w:val="28"/>
          <w:szCs w:val="28"/>
        </w:rPr>
        <w:t xml:space="preserve"> of them. Each essay should be 600-700 words in </w:t>
      </w:r>
      <w:r w:rsidRPr="00815D4F">
        <w:rPr>
          <w:rFonts w:ascii="inherit" w:eastAsia="Times New Roman" w:hAnsi="inherit" w:cs="Times New Roman"/>
          <w:color w:val="111111"/>
          <w:sz w:val="28"/>
          <w:szCs w:val="28"/>
        </w:rPr>
        <w:lastRenderedPageBreak/>
        <w:t>length. When citing sources, use of the </w:t>
      </w:r>
      <w:hyperlink r:id="rId8" w:history="1">
        <w:r w:rsidRPr="00815D4F">
          <w:rPr>
            <w:rFonts w:ascii="inherit" w:eastAsia="Times New Roman" w:hAnsi="inherit" w:cs="Times New Roman"/>
            <w:color w:val="1874A4"/>
            <w:sz w:val="28"/>
            <w:szCs w:val="28"/>
            <w:u w:val="single"/>
          </w:rPr>
          <w:t>MLA format</w:t>
        </w:r>
      </w:hyperlink>
      <w:r w:rsidRPr="00815D4F">
        <w:rPr>
          <w:rFonts w:ascii="inherit" w:eastAsia="Times New Roman" w:hAnsi="inherit" w:cs="Times New Roman"/>
          <w:color w:val="111111"/>
          <w:sz w:val="28"/>
          <w:szCs w:val="28"/>
        </w:rPr>
        <w:t xml:space="preserve"> is expected.  Words of wisdom: “Every job is a self-portrait of the person who did it.  Autograph your work with excellence.”  J. </w:t>
      </w:r>
      <w:proofErr w:type="spellStart"/>
      <w:r w:rsidRPr="00815D4F">
        <w:rPr>
          <w:rFonts w:ascii="inherit" w:eastAsia="Times New Roman" w:hAnsi="inherit" w:cs="Times New Roman"/>
          <w:color w:val="111111"/>
          <w:sz w:val="28"/>
          <w:szCs w:val="28"/>
        </w:rPr>
        <w:t>Guidobono</w:t>
      </w:r>
      <w:proofErr w:type="spellEnd"/>
      <w:r w:rsidRPr="00815D4F">
        <w:rPr>
          <w:rFonts w:ascii="inherit" w:eastAsia="Times New Roman" w:hAnsi="inherit" w:cs="Times New Roman"/>
          <w:color w:val="111111"/>
          <w:sz w:val="28"/>
          <w:szCs w:val="28"/>
        </w:rPr>
        <w:t>.  The average of the exams will constitute forty percent of your grade. </w:t>
      </w:r>
      <w:r w:rsidRPr="00815D4F">
        <w:rPr>
          <w:rFonts w:ascii="Open Sans" w:eastAsia="Times New Roman" w:hAnsi="Open Sans" w:cs="Times New Roman"/>
          <w:b/>
          <w:bCs/>
          <w:color w:val="111111"/>
          <w:sz w:val="28"/>
          <w:szCs w:val="28"/>
        </w:rPr>
        <w:t>40%</w:t>
      </w:r>
    </w:p>
    <w:p w:rsidR="00815D4F" w:rsidRPr="00815D4F" w:rsidRDefault="00815D4F" w:rsidP="00815D4F">
      <w:pPr>
        <w:numPr>
          <w:ilvl w:val="0"/>
          <w:numId w:val="5"/>
        </w:numPr>
        <w:shd w:val="clear" w:color="auto" w:fill="F4F4F4"/>
        <w:spacing w:after="0" w:line="240" w:lineRule="auto"/>
        <w:ind w:left="1080"/>
        <w:rPr>
          <w:rFonts w:ascii="inherit" w:eastAsia="Times New Roman" w:hAnsi="inherit" w:cs="Times New Roman"/>
          <w:color w:val="111111"/>
          <w:sz w:val="20"/>
          <w:szCs w:val="20"/>
        </w:rPr>
      </w:pPr>
      <w:r w:rsidRPr="00815D4F">
        <w:rPr>
          <w:rFonts w:ascii="inherit" w:eastAsia="Times New Roman" w:hAnsi="inherit" w:cs="Times New Roman"/>
          <w:b/>
          <w:bCs/>
          <w:color w:val="990000"/>
          <w:sz w:val="28"/>
          <w:szCs w:val="28"/>
          <w:u w:val="single"/>
        </w:rPr>
        <w:t>Primary Source Papers (2)</w:t>
      </w:r>
      <w:r w:rsidRPr="00815D4F">
        <w:rPr>
          <w:rFonts w:ascii="inherit" w:eastAsia="Times New Roman" w:hAnsi="inherit" w:cs="Times New Roman"/>
          <w:color w:val="000000"/>
          <w:sz w:val="28"/>
          <w:szCs w:val="28"/>
        </w:rPr>
        <w:t> - Primary sources, sources written by contemporaries or near-contemporaries are the testimony of the past and the building blocks of history. Historians work with these to develop interpretations of the past. Each chapter of the text contains up to two sources with an interpretive question at the end. I will also provide additional sources. This will be your chance to work with historical evidence and do the work of a historian. You will be required to work with two sets of these sources, one in the first half of the course and one in the second half. Responses should be 400-500 words in length (2 pages). </w:t>
      </w:r>
      <w:r w:rsidRPr="00815D4F">
        <w:rPr>
          <w:rFonts w:ascii="inherit" w:eastAsia="Times New Roman" w:hAnsi="inherit" w:cs="Times New Roman"/>
          <w:color w:val="111111"/>
          <w:sz w:val="28"/>
          <w:szCs w:val="28"/>
        </w:rPr>
        <w:t>This component will constitute fifteen percent of your final grade. </w:t>
      </w:r>
      <w:r w:rsidRPr="00815D4F">
        <w:rPr>
          <w:rFonts w:ascii="Open Sans" w:eastAsia="Times New Roman" w:hAnsi="Open Sans" w:cs="Times New Roman"/>
          <w:b/>
          <w:bCs/>
          <w:color w:val="111111"/>
          <w:sz w:val="28"/>
          <w:szCs w:val="28"/>
        </w:rPr>
        <w:t>15%</w:t>
      </w:r>
    </w:p>
    <w:p w:rsidR="00815D4F" w:rsidRPr="00815D4F" w:rsidRDefault="00815D4F" w:rsidP="00815D4F">
      <w:pPr>
        <w:numPr>
          <w:ilvl w:val="0"/>
          <w:numId w:val="5"/>
        </w:numPr>
        <w:shd w:val="clear" w:color="auto" w:fill="F4F4F4"/>
        <w:spacing w:after="0" w:line="240" w:lineRule="auto"/>
        <w:ind w:left="1080"/>
        <w:rPr>
          <w:rFonts w:ascii="inherit" w:eastAsia="Times New Roman" w:hAnsi="inherit" w:cs="Times New Roman"/>
          <w:color w:val="111111"/>
          <w:sz w:val="20"/>
          <w:szCs w:val="20"/>
        </w:rPr>
      </w:pPr>
      <w:r w:rsidRPr="00815D4F">
        <w:rPr>
          <w:rFonts w:ascii="inherit" w:eastAsia="Times New Roman" w:hAnsi="inherit" w:cs="Times New Roman"/>
          <w:b/>
          <w:bCs/>
          <w:color w:val="990000"/>
          <w:sz w:val="28"/>
          <w:szCs w:val="28"/>
          <w:u w:val="single"/>
        </w:rPr>
        <w:t>Discussion Board Postings</w:t>
      </w:r>
      <w:r w:rsidRPr="00815D4F">
        <w:rPr>
          <w:rFonts w:ascii="inherit" w:eastAsia="Times New Roman" w:hAnsi="inherit" w:cs="Times New Roman"/>
          <w:color w:val="111111"/>
          <w:sz w:val="28"/>
          <w:szCs w:val="28"/>
        </w:rPr>
        <w:t>- One of the clear advantages and joys of learning is that it does not occur in a vacuum.  Indeed, the socialization of learning can be an exciting experience as ideas and opinions can have a steamrolling effect.  This is not, nor is it intended to be, a correspondence course.  The challenge is to “come together” as a class.  Hopefully the discussion boards will allow that to occur.  Each student is expected to be a regular and frequent contributor to the message board (more on this later), making substantive postings.  A “substantial posting” is one that brings a unique (comparative, analytical, critical) perspective to some aspect of the reading, websites, or another student’s perspective.  The discussion board is also a place for you to ask questions and answer those questions that are asked by others.  You may also use this space to bring in websites you have found on your own.  This exercise will constitute fifteen percent of your final grade.</w:t>
      </w:r>
      <w:r w:rsidRPr="00815D4F">
        <w:rPr>
          <w:rFonts w:ascii="Open Sans" w:eastAsia="Times New Roman" w:hAnsi="Open Sans" w:cs="Times New Roman"/>
          <w:b/>
          <w:bCs/>
          <w:color w:val="111111"/>
          <w:sz w:val="28"/>
          <w:szCs w:val="28"/>
        </w:rPr>
        <w:t>15%</w:t>
      </w:r>
    </w:p>
    <w:p w:rsidR="00815D4F" w:rsidRPr="00815D4F" w:rsidRDefault="00815D4F" w:rsidP="00815D4F">
      <w:pPr>
        <w:numPr>
          <w:ilvl w:val="0"/>
          <w:numId w:val="5"/>
        </w:numPr>
        <w:shd w:val="clear" w:color="auto" w:fill="F4F4F4"/>
        <w:spacing w:after="0" w:line="240" w:lineRule="auto"/>
        <w:ind w:left="1080"/>
        <w:rPr>
          <w:rFonts w:ascii="inherit" w:eastAsia="Times New Roman" w:hAnsi="inherit" w:cs="Times New Roman"/>
          <w:color w:val="111111"/>
          <w:sz w:val="20"/>
          <w:szCs w:val="20"/>
        </w:rPr>
      </w:pPr>
      <w:r w:rsidRPr="00815D4F">
        <w:rPr>
          <w:rFonts w:ascii="inherit" w:eastAsia="Times New Roman" w:hAnsi="inherit" w:cs="Times New Roman"/>
          <w:color w:val="111111"/>
          <w:sz w:val="28"/>
          <w:szCs w:val="28"/>
          <w:u w:val="single"/>
        </w:rPr>
        <w:t> </w:t>
      </w:r>
      <w:r w:rsidRPr="00815D4F">
        <w:rPr>
          <w:rFonts w:ascii="inherit" w:eastAsia="Times New Roman" w:hAnsi="inherit" w:cs="Times New Roman"/>
          <w:b/>
          <w:bCs/>
          <w:color w:val="990000"/>
          <w:sz w:val="28"/>
          <w:szCs w:val="28"/>
        </w:rPr>
        <w:t>Quizzes</w:t>
      </w:r>
      <w:r w:rsidRPr="00815D4F">
        <w:rPr>
          <w:rFonts w:ascii="inherit" w:eastAsia="Times New Roman" w:hAnsi="inherit" w:cs="Times New Roman"/>
          <w:color w:val="111111"/>
          <w:sz w:val="28"/>
          <w:szCs w:val="28"/>
        </w:rPr>
        <w:t>- Also on Blackboard, there are objective tests, or quizzes, one for each chapter of the text.  </w:t>
      </w:r>
      <w:r w:rsidRPr="00815D4F">
        <w:rPr>
          <w:rFonts w:ascii="inherit" w:eastAsia="Times New Roman" w:hAnsi="inherit" w:cs="Times New Roman"/>
          <w:i/>
          <w:iCs/>
          <w:color w:val="FF0000"/>
          <w:sz w:val="28"/>
          <w:szCs w:val="28"/>
        </w:rPr>
        <w:t>These are date sensitive, and once the quiz deadline has passed the quiz will no longer be available</w:t>
      </w:r>
      <w:r w:rsidRPr="00815D4F">
        <w:rPr>
          <w:rFonts w:ascii="inherit" w:eastAsia="Times New Roman" w:hAnsi="inherit" w:cs="Times New Roman"/>
          <w:color w:val="111111"/>
          <w:sz w:val="28"/>
          <w:szCs w:val="28"/>
        </w:rPr>
        <w:t xml:space="preserve">.  The quizzes are also time sensitive: you have twenty minutes to take each test so you will need to set aside the necessary amount of time.  The quizzes are in a multiple-choice format and are meant to be both a device to keep reading at a given pace, and thus facilitate discussion, as well as an assessment of knowledge.  To paraphrase a former student: if you have read the material closely and taken good notes from the readings, they aren’t a problem; if you are sitting there with the book looking for the answers, </w:t>
      </w:r>
      <w:r w:rsidRPr="00815D4F">
        <w:rPr>
          <w:rFonts w:ascii="inherit" w:eastAsia="Times New Roman" w:hAnsi="inherit" w:cs="Times New Roman"/>
          <w:color w:val="111111"/>
          <w:sz w:val="28"/>
          <w:szCs w:val="28"/>
        </w:rPr>
        <w:lastRenderedPageBreak/>
        <w:t>you could have great difficulty.  This will constitute fifteen percent of your final grade. </w:t>
      </w:r>
      <w:r w:rsidRPr="00815D4F">
        <w:rPr>
          <w:rFonts w:ascii="Open Sans" w:eastAsia="Times New Roman" w:hAnsi="Open Sans" w:cs="Times New Roman"/>
          <w:b/>
          <w:bCs/>
          <w:color w:val="111111"/>
          <w:sz w:val="28"/>
          <w:szCs w:val="28"/>
        </w:rPr>
        <w:t>15%</w:t>
      </w:r>
    </w:p>
    <w:p w:rsidR="00815D4F" w:rsidRPr="00815D4F" w:rsidRDefault="00815D4F" w:rsidP="00815D4F">
      <w:pPr>
        <w:numPr>
          <w:ilvl w:val="0"/>
          <w:numId w:val="5"/>
        </w:numPr>
        <w:shd w:val="clear" w:color="auto" w:fill="F4F4F4"/>
        <w:spacing w:after="0" w:line="240" w:lineRule="auto"/>
        <w:ind w:left="1080"/>
        <w:rPr>
          <w:rFonts w:ascii="inherit" w:eastAsia="Times New Roman" w:hAnsi="inherit" w:cs="Times New Roman"/>
          <w:color w:val="111111"/>
          <w:sz w:val="20"/>
          <w:szCs w:val="20"/>
        </w:rPr>
      </w:pPr>
      <w:r w:rsidRPr="00815D4F">
        <w:rPr>
          <w:rFonts w:ascii="inherit" w:eastAsia="Times New Roman" w:hAnsi="inherit" w:cs="Times New Roman"/>
          <w:b/>
          <w:bCs/>
          <w:color w:val="990000"/>
          <w:sz w:val="28"/>
          <w:szCs w:val="28"/>
        </w:rPr>
        <w:t>Term Paper</w:t>
      </w:r>
      <w:r w:rsidRPr="00815D4F">
        <w:rPr>
          <w:rFonts w:ascii="inherit" w:eastAsia="Times New Roman" w:hAnsi="inherit" w:cs="Times New Roman"/>
          <w:color w:val="111111"/>
          <w:sz w:val="28"/>
          <w:szCs w:val="28"/>
        </w:rPr>
        <w:t xml:space="preserve"> – In this 5-page paper, you will research and explain the dynamics of change over time in human society. Working with both primary and secondary sources, you will be required to follow the development of a society over time while analyzing and interpreting the events, people, and intellectual movements that resulted in societal change. This paper must also be uploaded into you </w:t>
      </w:r>
      <w:proofErr w:type="spellStart"/>
      <w:r w:rsidRPr="00815D4F">
        <w:rPr>
          <w:rFonts w:ascii="inherit" w:eastAsia="Times New Roman" w:hAnsi="inherit" w:cs="Times New Roman"/>
          <w:color w:val="111111"/>
          <w:sz w:val="28"/>
          <w:szCs w:val="28"/>
        </w:rPr>
        <w:t>digication</w:t>
      </w:r>
      <w:proofErr w:type="spellEnd"/>
      <w:r w:rsidRPr="00815D4F">
        <w:rPr>
          <w:rFonts w:ascii="inherit" w:eastAsia="Times New Roman" w:hAnsi="inherit" w:cs="Times New Roman"/>
          <w:color w:val="111111"/>
          <w:sz w:val="28"/>
          <w:szCs w:val="28"/>
        </w:rPr>
        <w:t xml:space="preserve"> General Education e-portfolio.  </w:t>
      </w:r>
      <w:r w:rsidRPr="00815D4F">
        <w:rPr>
          <w:rFonts w:ascii="Open Sans" w:eastAsia="Times New Roman" w:hAnsi="Open Sans" w:cs="Times New Roman"/>
          <w:b/>
          <w:bCs/>
          <w:color w:val="111111"/>
          <w:sz w:val="28"/>
          <w:szCs w:val="28"/>
        </w:rPr>
        <w:t>15%</w:t>
      </w:r>
    </w:p>
    <w:p w:rsidR="00815D4F" w:rsidRPr="00815D4F" w:rsidRDefault="00815D4F" w:rsidP="00815D4F">
      <w:pPr>
        <w:shd w:val="clear" w:color="auto" w:fill="F4F4F4"/>
        <w:spacing w:after="0" w:line="240" w:lineRule="auto"/>
        <w:ind w:left="720"/>
        <w:rPr>
          <w:rFonts w:ascii="Open Sans" w:eastAsia="Times New Roman" w:hAnsi="Open Sans" w:cs="Times New Roman"/>
          <w:color w:val="111111"/>
          <w:sz w:val="24"/>
          <w:szCs w:val="24"/>
        </w:rPr>
      </w:pPr>
      <w:r w:rsidRPr="00815D4F">
        <w:rPr>
          <w:rFonts w:ascii="inherit" w:eastAsia="Times New Roman" w:hAnsi="inherit" w:cs="Times New Roman"/>
          <w:color w:val="000000"/>
          <w:sz w:val="28"/>
          <w:szCs w:val="28"/>
        </w:rPr>
        <w:t> </w:t>
      </w:r>
    </w:p>
    <w:p w:rsidR="00815D4F" w:rsidRPr="00815D4F" w:rsidRDefault="00815D4F" w:rsidP="00815D4F">
      <w:pPr>
        <w:shd w:val="clear" w:color="auto" w:fill="F4F4F4"/>
        <w:spacing w:after="0" w:line="240" w:lineRule="auto"/>
        <w:ind w:left="720"/>
        <w:rPr>
          <w:rFonts w:ascii="Open Sans" w:eastAsia="Times New Roman" w:hAnsi="Open Sans" w:cs="Times New Roman"/>
          <w:color w:val="111111"/>
          <w:sz w:val="24"/>
          <w:szCs w:val="24"/>
        </w:rPr>
      </w:pPr>
      <w:r w:rsidRPr="00815D4F">
        <w:rPr>
          <w:rFonts w:ascii="inherit" w:eastAsia="Times New Roman" w:hAnsi="inherit" w:cs="Times New Roman"/>
          <w:color w:val="008080"/>
          <w:sz w:val="28"/>
          <w:szCs w:val="28"/>
          <w:u w:val="single"/>
        </w:rPr>
        <w:t>Course Components</w:t>
      </w:r>
    </w:p>
    <w:p w:rsidR="00815D4F" w:rsidRPr="00815D4F" w:rsidRDefault="00815D4F" w:rsidP="00815D4F">
      <w:pPr>
        <w:shd w:val="clear" w:color="auto" w:fill="F4F4F4"/>
        <w:spacing w:after="240" w:line="240" w:lineRule="auto"/>
        <w:ind w:left="720"/>
        <w:rPr>
          <w:rFonts w:ascii="Open Sans" w:eastAsia="Times New Roman" w:hAnsi="Open Sans" w:cs="Times New Roman"/>
          <w:color w:val="111111"/>
          <w:sz w:val="24"/>
          <w:szCs w:val="24"/>
        </w:rPr>
      </w:pPr>
      <w:r w:rsidRPr="00815D4F">
        <w:rPr>
          <w:rFonts w:ascii="Open Sans" w:eastAsia="Times New Roman" w:hAnsi="Open Sans" w:cs="Times New Roman"/>
          <w:color w:val="111111"/>
          <w:sz w:val="24"/>
          <w:szCs w:val="24"/>
        </w:rPr>
        <w:t> </w:t>
      </w:r>
    </w:p>
    <w:tbl>
      <w:tblPr>
        <w:tblW w:w="0" w:type="auto"/>
        <w:tblInd w:w="712"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3716"/>
        <w:gridCol w:w="1144"/>
      </w:tblGrid>
      <w:tr w:rsidR="00815D4F" w:rsidRPr="00815D4F" w:rsidTr="00815D4F">
        <w:tc>
          <w:tcPr>
            <w:tcW w:w="3716"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Exams</w:t>
            </w:r>
          </w:p>
        </w:tc>
        <w:tc>
          <w:tcPr>
            <w:tcW w:w="1144"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40%</w:t>
            </w:r>
          </w:p>
        </w:tc>
      </w:tr>
      <w:tr w:rsidR="00815D4F" w:rsidRPr="00815D4F" w:rsidTr="00815D4F">
        <w:tc>
          <w:tcPr>
            <w:tcW w:w="3716"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Quizzes</w:t>
            </w:r>
          </w:p>
        </w:tc>
        <w:tc>
          <w:tcPr>
            <w:tcW w:w="1144"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15%</w:t>
            </w:r>
          </w:p>
        </w:tc>
      </w:tr>
      <w:tr w:rsidR="00815D4F" w:rsidRPr="00815D4F" w:rsidTr="00815D4F">
        <w:tc>
          <w:tcPr>
            <w:tcW w:w="3716"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Discussion Board</w:t>
            </w:r>
          </w:p>
        </w:tc>
        <w:tc>
          <w:tcPr>
            <w:tcW w:w="1144"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15%</w:t>
            </w:r>
          </w:p>
        </w:tc>
      </w:tr>
      <w:tr w:rsidR="00815D4F" w:rsidRPr="00815D4F" w:rsidTr="00815D4F">
        <w:tc>
          <w:tcPr>
            <w:tcW w:w="3716"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Primary Source Papers</w:t>
            </w:r>
          </w:p>
        </w:tc>
        <w:tc>
          <w:tcPr>
            <w:tcW w:w="1144"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15%</w:t>
            </w:r>
          </w:p>
        </w:tc>
      </w:tr>
      <w:tr w:rsidR="00815D4F" w:rsidRPr="00815D4F" w:rsidTr="00815D4F">
        <w:tc>
          <w:tcPr>
            <w:tcW w:w="3716"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Term Paper</w:t>
            </w:r>
          </w:p>
        </w:tc>
        <w:tc>
          <w:tcPr>
            <w:tcW w:w="1144"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20"/>
                <w:szCs w:val="20"/>
              </w:rPr>
            </w:pPr>
            <w:r w:rsidRPr="00815D4F">
              <w:rPr>
                <w:rFonts w:ascii="inherit" w:eastAsia="Times New Roman" w:hAnsi="inherit" w:cs="Times New Roman"/>
                <w:color w:val="000000"/>
                <w:sz w:val="28"/>
                <w:szCs w:val="28"/>
              </w:rPr>
              <w:t>15%</w:t>
            </w:r>
          </w:p>
        </w:tc>
      </w:tr>
    </w:tbl>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br/>
      </w:r>
      <w:r w:rsidRPr="00815D4F">
        <w:rPr>
          <w:rFonts w:ascii="Verdana" w:eastAsia="Times New Roman" w:hAnsi="Verdana" w:cs="Times New Roman"/>
          <w:color w:val="008080"/>
          <w:sz w:val="28"/>
          <w:szCs w:val="28"/>
          <w:u w:val="single"/>
        </w:rPr>
        <w:br/>
      </w: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Grading</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1157"/>
        <w:gridCol w:w="1526"/>
      </w:tblGrid>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Grade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Equivalent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Quality Points</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93-100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4.0</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90-92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3.7</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87-89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3.3</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83-86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3.0</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80-82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2.7</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77-79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2.3</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lastRenderedPageBreak/>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73-76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2.0</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70-72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1.7</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67-69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1.3</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63-66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1.0</w:t>
            </w:r>
          </w:p>
        </w:tc>
      </w:tr>
      <w:tr w:rsidR="00815D4F" w:rsidRPr="00815D4F" w:rsidTr="00815D4F">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0-62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6"/>
                <w:szCs w:val="26"/>
              </w:rPr>
              <w:t>0.0</w:t>
            </w:r>
          </w:p>
        </w:tc>
      </w:tr>
    </w:tbl>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spacing w:before="100" w:beforeAutospacing="1" w:after="240" w:line="240" w:lineRule="auto"/>
        <w:ind w:firstLine="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roofErr w:type="spellStart"/>
      <w:r w:rsidRPr="00815D4F">
        <w:rPr>
          <w:rFonts w:ascii="Verdana" w:eastAsia="Times New Roman" w:hAnsi="Verdana" w:cs="Times New Roman"/>
          <w:color w:val="008080"/>
          <w:sz w:val="28"/>
          <w:szCs w:val="28"/>
          <w:u w:val="single"/>
        </w:rPr>
        <w:t>Digication</w:t>
      </w:r>
      <w:proofErr w:type="spellEnd"/>
    </w:p>
    <w:p w:rsidR="00815D4F" w:rsidRPr="00815D4F" w:rsidRDefault="00815D4F" w:rsidP="00815D4F">
      <w:pPr>
        <w:spacing w:before="100" w:beforeAutospacing="1" w:after="240" w:line="240" w:lineRule="auto"/>
        <w:ind w:left="900"/>
        <w:jc w:val="both"/>
        <w:rPr>
          <w:rFonts w:ascii="Verdana" w:eastAsia="Times New Roman" w:hAnsi="Verdana" w:cs="Times New Roman"/>
          <w:color w:val="000000"/>
          <w:sz w:val="18"/>
          <w:szCs w:val="18"/>
        </w:rPr>
      </w:pPr>
      <w:r w:rsidRPr="00815D4F">
        <w:rPr>
          <w:rFonts w:ascii="Arial" w:eastAsia="Times New Roman" w:hAnsi="Arial" w:cs="Arial"/>
          <w:color w:val="000000"/>
          <w:sz w:val="36"/>
          <w:szCs w:val="36"/>
        </w:rPr>
        <w:t xml:space="preserve">All students are required to maintain an online learning portfolio in </w:t>
      </w:r>
      <w:proofErr w:type="spellStart"/>
      <w:r w:rsidRPr="00815D4F">
        <w:rPr>
          <w:rFonts w:ascii="Arial" w:eastAsia="Times New Roman" w:hAnsi="Arial" w:cs="Arial"/>
          <w:color w:val="000000"/>
          <w:sz w:val="36"/>
          <w:szCs w:val="36"/>
        </w:rPr>
        <w:t>Digication</w:t>
      </w:r>
      <w:proofErr w:type="spellEnd"/>
      <w:r w:rsidRPr="00815D4F">
        <w:rPr>
          <w:rFonts w:ascii="Arial" w:eastAsia="Times New Roman" w:hAnsi="Arial" w:cs="Arial"/>
          <w:color w:val="000000"/>
          <w:sz w:val="36"/>
          <w:szCs w:val="36"/>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815D4F">
        <w:rPr>
          <w:rFonts w:ascii="Arial" w:eastAsia="Times New Roman" w:hAnsi="Arial" w:cs="Arial"/>
          <w:color w:val="000000"/>
          <w:sz w:val="36"/>
          <w:szCs w:val="36"/>
        </w:rPr>
        <w:t>Digication</w:t>
      </w:r>
      <w:proofErr w:type="spellEnd"/>
      <w:r w:rsidRPr="00815D4F">
        <w:rPr>
          <w:rFonts w:ascii="Arial" w:eastAsia="Times New Roman" w:hAnsi="Arial" w:cs="Arial"/>
          <w:color w:val="000000"/>
          <w:sz w:val="36"/>
          <w:szCs w:val="36"/>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815D4F" w:rsidRPr="00815D4F" w:rsidRDefault="00815D4F" w:rsidP="00815D4F">
      <w:pPr>
        <w:spacing w:before="100" w:beforeAutospacing="1" w:after="240" w:line="240" w:lineRule="auto"/>
        <w:ind w:left="900"/>
        <w:jc w:val="both"/>
        <w:rPr>
          <w:rFonts w:ascii="Verdana" w:eastAsia="Times New Roman" w:hAnsi="Verdana" w:cs="Times New Roman"/>
          <w:color w:val="000000"/>
          <w:sz w:val="18"/>
          <w:szCs w:val="18"/>
        </w:rPr>
      </w:pPr>
    </w:p>
    <w:p w:rsidR="00815D4F" w:rsidRPr="00815D4F" w:rsidRDefault="00815D4F" w:rsidP="00815D4F">
      <w:pPr>
        <w:keepNext/>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lastRenderedPageBreak/>
        <w:t>College Withdrawal Policy</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Arial" w:eastAsia="Times New Roman" w:hAnsi="Arial" w:cs="Arial"/>
          <w:color w:val="000000"/>
          <w:sz w:val="28"/>
          <w:szCs w:val="28"/>
        </w:rPr>
        <w:t xml:space="preserve">A student who finds it necessary to discontinue a course MUST complete an Add/drop form obtained from the </w:t>
      </w:r>
      <w:proofErr w:type="spellStart"/>
      <w:r w:rsidRPr="00815D4F">
        <w:rPr>
          <w:rFonts w:ascii="Arial" w:eastAsia="Times New Roman" w:hAnsi="Arial" w:cs="Arial"/>
          <w:color w:val="000000"/>
          <w:sz w:val="28"/>
          <w:szCs w:val="28"/>
        </w:rPr>
        <w:t>Registrars</w:t>
      </w:r>
      <w:proofErr w:type="spellEnd"/>
      <w:r w:rsidRPr="00815D4F">
        <w:rPr>
          <w:rFonts w:ascii="Arial" w:eastAsia="Times New Roman" w:hAnsi="Arial" w:cs="Arial"/>
          <w:color w:val="000000"/>
          <w:sz w:val="28"/>
          <w:szCs w:val="28"/>
        </w:rPr>
        <w:t xml:space="preserve"> Office.  </w:t>
      </w:r>
      <w:r w:rsidRPr="00815D4F">
        <w:rPr>
          <w:rFonts w:ascii="Times New Roman" w:eastAsia="Times New Roman" w:hAnsi="Times New Roman"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Arial" w:eastAsia="Times New Roman" w:hAnsi="Arial" w:cs="Arial"/>
          <w:color w:val="000000"/>
          <w:sz w:val="28"/>
          <w:szCs w:val="28"/>
        </w:rPr>
        <w:t xml:space="preserve">Students may drop courses up to the final drop date as specified in the academic calendar. Courses dropped prior to or during the first two weeks off classes in a standard semester will not appear on the students transcript. </w:t>
      </w:r>
      <w:r w:rsidRPr="00815D4F">
        <w:rPr>
          <w:rFonts w:ascii="Arial" w:eastAsia="Times New Roman" w:hAnsi="Arial" w:cs="Arial"/>
          <w:i/>
          <w:iCs/>
          <w:color w:val="000000"/>
          <w:sz w:val="28"/>
          <w:szCs w:val="28"/>
        </w:rPr>
        <w:t xml:space="preserve">Summer and winter sessions courses must be dropped prior to the beginning of the respective session.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xml:space="preserve">Students, who fail to properly withdraw, and discontinue signing into class, will be assigned an “F” grade.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keepNext/>
        <w:spacing w:before="240" w:after="6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Learning Disabilities Statement</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Arial" w:eastAsia="Times New Roman" w:hAnsi="Arial" w:cs="Arial"/>
          <w:color w:val="000000"/>
          <w:sz w:val="28"/>
          <w:szCs w:val="28"/>
        </w:rPr>
        <w:t>If you have a disability that may affect your progress in this course, please meet with a Disability Service Provider (DSP) as soon as possible.  Please note that accommodations cannot be provided until you provide written authorization from a DSP.</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tbl>
      <w:tblPr>
        <w:tblW w:w="7110" w:type="dxa"/>
        <w:tblInd w:w="206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301"/>
        <w:gridCol w:w="3741"/>
        <w:gridCol w:w="68"/>
      </w:tblGrid>
      <w:tr w:rsidR="00815D4F" w:rsidRPr="00815D4F" w:rsidTr="00815D4F">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b/>
                <w:bCs/>
                <w:color w:val="000000"/>
                <w:sz w:val="28"/>
                <w:szCs w:val="28"/>
              </w:rPr>
              <w:br/>
              <w:t>College Disabilities Service Provider</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rPr>
              <w:t> </w:t>
            </w:r>
          </w:p>
        </w:tc>
        <w:tc>
          <w:tcPr>
            <w:tcW w:w="1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Calibri" w:eastAsia="Times New Roman" w:hAnsi="Calibri" w:cs="Calibri"/>
                <w:color w:val="212121"/>
              </w:rPr>
              <w:t> </w:t>
            </w:r>
          </w:p>
        </w:tc>
      </w:tr>
      <w:tr w:rsidR="00815D4F" w:rsidRPr="00815D4F" w:rsidTr="00815D4F">
        <w:trPr>
          <w:trHeight w:val="420"/>
        </w:trPr>
        <w:tc>
          <w:tcPr>
            <w:tcW w:w="3335" w:type="dxa"/>
            <w:tcBorders>
              <w:top w:val="nil"/>
              <w:left w:val="single" w:sz="8" w:space="0" w:color="BBBBBB"/>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rPr>
              <w:t> </w:t>
            </w:r>
          </w:p>
        </w:tc>
        <w:tc>
          <w:tcPr>
            <w:tcW w:w="3767" w:type="dxa"/>
            <w:tcBorders>
              <w:top w:val="nil"/>
              <w:left w:val="nil"/>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rPr>
              <w:t> </w:t>
            </w:r>
          </w:p>
        </w:tc>
        <w:tc>
          <w:tcPr>
            <w:tcW w:w="1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Calibri" w:eastAsia="Times New Roman" w:hAnsi="Calibri" w:cs="Calibri"/>
                <w:color w:val="212121"/>
              </w:rPr>
              <w:t> </w:t>
            </w:r>
          </w:p>
        </w:tc>
      </w:tr>
      <w:tr w:rsidR="00815D4F" w:rsidRPr="00815D4F" w:rsidTr="00815D4F">
        <w:trPr>
          <w:trHeight w:val="740"/>
        </w:trPr>
        <w:tc>
          <w:tcPr>
            <w:tcW w:w="3335" w:type="dxa"/>
            <w:tcBorders>
              <w:top w:val="nil"/>
              <w:left w:val="single" w:sz="8" w:space="0" w:color="BBBBBB"/>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sz w:val="24"/>
                <w:szCs w:val="24"/>
              </w:rPr>
              <w:t> </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sz w:val="24"/>
                <w:szCs w:val="24"/>
              </w:rPr>
              <w:t xml:space="preserve">Matt </w:t>
            </w:r>
            <w:proofErr w:type="spellStart"/>
            <w:r w:rsidRPr="00815D4F">
              <w:rPr>
                <w:rFonts w:ascii="inherit" w:eastAsia="Times New Roman" w:hAnsi="inherit" w:cs="Times New Roman"/>
                <w:color w:val="000000"/>
                <w:sz w:val="24"/>
                <w:szCs w:val="24"/>
              </w:rPr>
              <w:t>Liscum</w:t>
            </w:r>
            <w:proofErr w:type="spellEnd"/>
            <w:r w:rsidRPr="00815D4F">
              <w:rPr>
                <w:rFonts w:ascii="inherit" w:eastAsia="Times New Roman" w:hAnsi="inherit" w:cs="Times New Roman"/>
                <w:color w:val="000000"/>
                <w:sz w:val="24"/>
                <w:szCs w:val="24"/>
              </w:rPr>
              <w:t>, Counselor</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rPr>
              <w:lastRenderedPageBreak/>
              <w:t>(860) 215-9265</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000000"/>
              </w:rPr>
              <w:t>Room A113</w:t>
            </w:r>
          </w:p>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24"/>
                <w:szCs w:val="24"/>
              </w:rPr>
              <w:t> </w:t>
            </w:r>
          </w:p>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rPr>
              <w:t> </w:t>
            </w:r>
          </w:p>
        </w:tc>
        <w:tc>
          <w:tcPr>
            <w:tcW w:w="3767" w:type="dxa"/>
            <w:tcBorders>
              <w:top w:val="nil"/>
              <w:left w:val="nil"/>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ind w:left="720"/>
              <w:rPr>
                <w:rFonts w:ascii="inherit" w:eastAsia="Times New Roman" w:hAnsi="inherit" w:cs="Times New Roman"/>
                <w:color w:val="000000"/>
                <w:sz w:val="18"/>
                <w:szCs w:val="18"/>
              </w:rPr>
            </w:pPr>
            <w:r w:rsidRPr="00815D4F">
              <w:rPr>
                <w:rFonts w:ascii="inherit" w:eastAsia="Times New Roman" w:hAnsi="inherit" w:cs="Times New Roman"/>
                <w:color w:val="000000"/>
              </w:rPr>
              <w:lastRenderedPageBreak/>
              <w:t> </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Learning Disabilities</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lastRenderedPageBreak/>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ADD/ADHD</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Autism Spectrum</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Mental Health Disabilities</w:t>
            </w:r>
          </w:p>
        </w:tc>
        <w:tc>
          <w:tcPr>
            <w:tcW w:w="12" w:type="dxa"/>
            <w:tcBorders>
              <w:top w:val="nil"/>
              <w:left w:val="nil"/>
              <w:bottom w:val="single" w:sz="8" w:space="0" w:color="BBBBBB"/>
              <w:right w:val="nil"/>
            </w:tcBorders>
            <w:shd w:val="clear" w:color="auto" w:fill="FFFFFF"/>
            <w:vAlign w:val="cente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Calibri" w:eastAsia="Times New Roman" w:hAnsi="Calibri" w:cs="Calibri"/>
                <w:color w:val="212121"/>
              </w:rPr>
              <w:lastRenderedPageBreak/>
              <w:t> </w:t>
            </w:r>
          </w:p>
        </w:tc>
      </w:tr>
      <w:tr w:rsidR="00815D4F" w:rsidRPr="00815D4F" w:rsidTr="00815D4F">
        <w:tc>
          <w:tcPr>
            <w:tcW w:w="3335" w:type="dxa"/>
            <w:tcBorders>
              <w:top w:val="nil"/>
              <w:left w:val="single" w:sz="8" w:space="0" w:color="BBBBBB"/>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212121"/>
              </w:rPr>
              <w:t> </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212121"/>
              </w:rPr>
              <w:t xml:space="preserve">Elizabeth </w:t>
            </w:r>
            <w:proofErr w:type="spellStart"/>
            <w:r w:rsidRPr="00815D4F">
              <w:rPr>
                <w:rFonts w:ascii="inherit" w:eastAsia="Times New Roman" w:hAnsi="inherit" w:cs="Times New Roman"/>
                <w:color w:val="212121"/>
              </w:rPr>
              <w:t>Willcox</w:t>
            </w:r>
            <w:proofErr w:type="spellEnd"/>
            <w:r w:rsidRPr="00815D4F">
              <w:rPr>
                <w:rFonts w:ascii="inherit" w:eastAsia="Times New Roman" w:hAnsi="inherit" w:cs="Times New Roman"/>
                <w:color w:val="212121"/>
              </w:rPr>
              <w:t>, Advisor</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212121"/>
              </w:rPr>
              <w:t>(860) 215-9289</w:t>
            </w:r>
          </w:p>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r w:rsidRPr="00815D4F">
              <w:rPr>
                <w:rFonts w:ascii="inherit" w:eastAsia="Times New Roman" w:hAnsi="inherit" w:cs="Times New Roman"/>
                <w:color w:val="212121"/>
              </w:rPr>
              <w:t>Room A113</w:t>
            </w:r>
          </w:p>
        </w:tc>
        <w:tc>
          <w:tcPr>
            <w:tcW w:w="3775" w:type="dxa"/>
            <w:gridSpan w:val="2"/>
            <w:tcBorders>
              <w:top w:val="nil"/>
              <w:left w:val="nil"/>
              <w:bottom w:val="single" w:sz="8" w:space="0" w:color="BBBBBB"/>
              <w:right w:val="single" w:sz="8" w:space="0" w:color="BBBBBB"/>
            </w:tcBorders>
            <w:shd w:val="clear" w:color="auto" w:fill="FFFFFF"/>
            <w:tcMar>
              <w:top w:w="0" w:type="dxa"/>
              <w:left w:w="108" w:type="dxa"/>
              <w:bottom w:w="0" w:type="dxa"/>
              <w:right w:w="108" w:type="dxa"/>
            </w:tcMar>
            <w:hideMark/>
          </w:tcPr>
          <w:p w:rsidR="00815D4F" w:rsidRPr="00815D4F" w:rsidRDefault="00815D4F" w:rsidP="00815D4F">
            <w:pPr>
              <w:spacing w:before="100" w:beforeAutospacing="1" w:after="240" w:line="240" w:lineRule="auto"/>
              <w:ind w:left="720"/>
              <w:rPr>
                <w:rFonts w:ascii="inherit" w:eastAsia="Times New Roman" w:hAnsi="inherit" w:cs="Times New Roman"/>
                <w:color w:val="000000"/>
                <w:sz w:val="18"/>
                <w:szCs w:val="18"/>
              </w:rPr>
            </w:pPr>
            <w:r w:rsidRPr="00815D4F">
              <w:rPr>
                <w:rFonts w:ascii="inherit" w:eastAsia="Times New Roman" w:hAnsi="inherit" w:cs="Times New Roman"/>
                <w:color w:val="000000"/>
              </w:rPr>
              <w:t> </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Medical Disabilities</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Mobility Disabilities</w:t>
            </w:r>
          </w:p>
          <w:p w:rsidR="00815D4F" w:rsidRPr="00815D4F" w:rsidRDefault="00815D4F" w:rsidP="00815D4F">
            <w:pPr>
              <w:spacing w:before="100" w:beforeAutospacing="1" w:after="240" w:line="240" w:lineRule="auto"/>
              <w:ind w:left="720" w:hanging="360"/>
              <w:rPr>
                <w:rFonts w:ascii="inherit" w:eastAsia="Times New Roman" w:hAnsi="inherit" w:cs="Times New Roman"/>
                <w:color w:val="000000"/>
                <w:sz w:val="18"/>
                <w:szCs w:val="18"/>
              </w:rPr>
            </w:pPr>
            <w:r w:rsidRPr="00815D4F">
              <w:rPr>
                <w:rFonts w:ascii="Symbol" w:eastAsia="Times New Roman" w:hAnsi="Symbol" w:cs="Times New Roman"/>
                <w:color w:val="000000"/>
              </w:rPr>
              <w:t></w:t>
            </w:r>
            <w:r w:rsidRPr="00815D4F">
              <w:rPr>
                <w:rFonts w:ascii="inherit" w:eastAsia="Times New Roman" w:hAnsi="inherit" w:cs="Times New Roman"/>
                <w:color w:val="000000"/>
                <w:sz w:val="14"/>
                <w:szCs w:val="14"/>
              </w:rPr>
              <w:t>        </w:t>
            </w:r>
            <w:r w:rsidRPr="00815D4F">
              <w:rPr>
                <w:rFonts w:ascii="inherit" w:eastAsia="Times New Roman" w:hAnsi="inherit" w:cs="Times New Roman"/>
                <w:color w:val="000000"/>
              </w:rPr>
              <w:t>Sensory Disability</w:t>
            </w:r>
          </w:p>
          <w:p w:rsidR="00815D4F" w:rsidRPr="00815D4F" w:rsidRDefault="00815D4F" w:rsidP="00815D4F">
            <w:pPr>
              <w:spacing w:before="100" w:beforeAutospacing="1" w:after="240" w:line="240" w:lineRule="auto"/>
              <w:ind w:left="720"/>
              <w:rPr>
                <w:rFonts w:ascii="inherit" w:eastAsia="Times New Roman" w:hAnsi="inherit" w:cs="Times New Roman"/>
                <w:color w:val="000000"/>
                <w:sz w:val="18"/>
                <w:szCs w:val="18"/>
              </w:rPr>
            </w:pPr>
            <w:r w:rsidRPr="00815D4F">
              <w:rPr>
                <w:rFonts w:ascii="Calibri" w:eastAsia="Times New Roman" w:hAnsi="Calibri" w:cs="Calibri"/>
                <w:b/>
                <w:bCs/>
                <w:color w:val="000000"/>
              </w:rPr>
              <w:t> </w:t>
            </w:r>
          </w:p>
        </w:tc>
      </w:tr>
    </w:tbl>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33CCCC"/>
          <w:sz w:val="36"/>
          <w:szCs w:val="36"/>
          <w:u w:val="single"/>
        </w:rPr>
        <w:t>Sexual Misconduct Policy</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rPr>
        <w:t>BOARD OF REGENTS FOR HIGHTER EDUCATION AND CONNECTICUT STATE COLLEGES AND UNIVERSITIES POLICY REGARDING SEXUAL MISCONDUCT REPORTING, SUPPORT SERVICES AND PROCESSES POLICY</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rPr>
        <w:t>Statement of Policy for Public Act No. 14-11: An Act Concerning Sexual Assault, Stalking and Intimate Partner Violence on Campus:</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Arial" w:eastAsia="Times New Roman" w:hAnsi="Arial" w:cs="Arial"/>
          <w:color w:val="212121"/>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Arial" w:eastAsia="Times New Roman" w:hAnsi="Arial" w:cs="Arial"/>
          <w:color w:val="212121"/>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u w:val="single"/>
        </w:rPr>
        <w:t>Title IX Statement</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b/>
          <w:bCs/>
          <w:color w:val="212121"/>
          <w:sz w:val="18"/>
          <w:szCs w:val="18"/>
        </w:rPr>
        <w:t>UNITED STATES DEPARTMENT OF EDUCATION AND OFFICE OF CIVIL RIGHTS TITLE IX STATEMENT OF POLICY:</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lastRenderedPageBreak/>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 </w:t>
      </w:r>
    </w:p>
    <w:p w:rsidR="00815D4F" w:rsidRPr="00815D4F" w:rsidRDefault="00815D4F" w:rsidP="00815D4F">
      <w:pPr>
        <w:shd w:val="clear" w:color="auto" w:fill="FFFFFF"/>
        <w:spacing w:after="0" w:line="240" w:lineRule="auto"/>
        <w:rPr>
          <w:rFonts w:ascii="Verdana" w:eastAsia="Times New Roman" w:hAnsi="Verdana" w:cs="Times New Roman"/>
          <w:color w:val="000000"/>
          <w:sz w:val="18"/>
          <w:szCs w:val="18"/>
        </w:rPr>
      </w:pPr>
      <w:r w:rsidRPr="00815D4F">
        <w:rPr>
          <w:rFonts w:ascii="Verdana" w:eastAsia="Times New Roman" w:hAnsi="Verdana" w:cs="Times New Roman"/>
          <w:color w:val="212121"/>
          <w:sz w:val="18"/>
          <w:szCs w:val="18"/>
        </w:rPr>
        <w:t xml:space="preserve">If any student experiences sexual misconduct or harassment, and/or racial or ethnic discrimination on Three Rivers Community College Campus, or fears for their safety from a threat while on campus, please contact Edward A. </w:t>
      </w:r>
      <w:proofErr w:type="spellStart"/>
      <w:r w:rsidRPr="00815D4F">
        <w:rPr>
          <w:rFonts w:ascii="Verdana" w:eastAsia="Times New Roman" w:hAnsi="Verdana" w:cs="Times New Roman"/>
          <w:color w:val="212121"/>
          <w:sz w:val="18"/>
          <w:szCs w:val="18"/>
        </w:rPr>
        <w:t>Derr</w:t>
      </w:r>
      <w:proofErr w:type="spellEnd"/>
      <w:r w:rsidRPr="00815D4F">
        <w:rPr>
          <w:rFonts w:ascii="Verdana" w:eastAsia="Times New Roman" w:hAnsi="Verdana" w:cs="Times New Roman"/>
          <w:color w:val="212121"/>
          <w:sz w:val="18"/>
          <w:szCs w:val="18"/>
        </w:rPr>
        <w:t>, the Diversity Officer and Title IX Coordinator:</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Times New Roman" w:eastAsia="Times New Roman" w:hAnsi="Times New Roman" w:cs="Times New Roman"/>
          <w:color w:val="000000"/>
          <w:sz w:val="18"/>
          <w:szCs w:val="18"/>
        </w:rPr>
        <w:t xml:space="preserve">                                                                                                                                    </w:t>
      </w:r>
      <w:r w:rsidRPr="00815D4F">
        <w:rPr>
          <w:rFonts w:ascii="Verdana" w:eastAsia="Times New Roman" w:hAnsi="Verdana" w:cs="Times New Roman"/>
          <w:color w:val="000000"/>
          <w:sz w:val="18"/>
          <w:szCs w:val="18"/>
        </w:rPr>
        <w:t>                                               </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8"/>
        <w:gridCol w:w="6707"/>
      </w:tblGrid>
      <w:tr w:rsidR="00815D4F" w:rsidRPr="00815D4F" w:rsidTr="00815D4F">
        <w:tc>
          <w:tcPr>
            <w:tcW w:w="93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18"/>
                <w:szCs w:val="18"/>
              </w:rPr>
              <w:t> </w:t>
            </w:r>
          </w:p>
        </w:tc>
      </w:tr>
      <w:tr w:rsidR="00815D4F" w:rsidRPr="00815D4F" w:rsidTr="00815D4F">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D4F" w:rsidRPr="00815D4F" w:rsidRDefault="00815D4F" w:rsidP="00815D4F">
            <w:pPr>
              <w:spacing w:after="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18"/>
                <w:szCs w:val="18"/>
              </w:rPr>
              <w:t> </w:t>
            </w:r>
          </w:p>
        </w:tc>
        <w:tc>
          <w:tcPr>
            <w:tcW w:w="6816" w:type="dxa"/>
            <w:tcBorders>
              <w:top w:val="nil"/>
              <w:left w:val="nil"/>
              <w:bottom w:val="single" w:sz="8" w:space="0" w:color="auto"/>
              <w:right w:val="single" w:sz="8" w:space="0" w:color="auto"/>
            </w:tcBorders>
            <w:tcMar>
              <w:top w:w="0" w:type="dxa"/>
              <w:left w:w="108" w:type="dxa"/>
              <w:bottom w:w="0" w:type="dxa"/>
              <w:right w:w="108" w:type="dxa"/>
            </w:tcMar>
            <w:hideMark/>
          </w:tcPr>
          <w:p w:rsidR="00815D4F" w:rsidRPr="00815D4F" w:rsidRDefault="00815D4F" w:rsidP="00815D4F">
            <w:pPr>
              <w:spacing w:before="100" w:beforeAutospacing="1" w:after="0" w:line="240" w:lineRule="auto"/>
              <w:rPr>
                <w:rFonts w:ascii="inherit" w:eastAsia="Times New Roman" w:hAnsi="inherit" w:cs="Times New Roman"/>
                <w:color w:val="000000"/>
                <w:sz w:val="18"/>
                <w:szCs w:val="18"/>
              </w:rPr>
            </w:pPr>
            <w:r w:rsidRPr="00815D4F">
              <w:rPr>
                <w:rFonts w:ascii="inherit" w:eastAsia="Times New Roman" w:hAnsi="inherit" w:cs="Times New Roman"/>
                <w:color w:val="000000"/>
                <w:sz w:val="18"/>
                <w:szCs w:val="18"/>
              </w:rPr>
              <w:t> </w:t>
            </w:r>
          </w:p>
        </w:tc>
      </w:tr>
    </w:tbl>
    <w:p w:rsidR="00815D4F" w:rsidRPr="00815D4F" w:rsidRDefault="00815D4F" w:rsidP="00815D4F">
      <w:pPr>
        <w:keepNext/>
        <w:spacing w:before="240" w:after="60" w:line="240" w:lineRule="auto"/>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p>
    <w:p w:rsidR="00815D4F" w:rsidRPr="00815D4F" w:rsidRDefault="00815D4F" w:rsidP="00815D4F">
      <w:pPr>
        <w:keepNext/>
        <w:spacing w:before="240" w:after="60" w:line="240" w:lineRule="auto"/>
        <w:rPr>
          <w:rFonts w:ascii="Verdana" w:eastAsia="Times New Roman" w:hAnsi="Verdana" w:cs="Times New Roman"/>
          <w:color w:val="000000"/>
          <w:sz w:val="18"/>
          <w:szCs w:val="18"/>
        </w:rPr>
      </w:pPr>
    </w:p>
    <w:p w:rsidR="00815D4F" w:rsidRPr="00815D4F" w:rsidRDefault="00815D4F" w:rsidP="00815D4F">
      <w:pPr>
        <w:keepNext/>
        <w:spacing w:before="240" w:after="6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rPr>
        <w:t> </w:t>
      </w:r>
    </w:p>
    <w:p w:rsidR="00815D4F" w:rsidRPr="00815D4F" w:rsidRDefault="00815D4F" w:rsidP="00815D4F">
      <w:pPr>
        <w:keepNext/>
        <w:spacing w:before="240" w:after="6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8080"/>
          <w:sz w:val="28"/>
          <w:szCs w:val="28"/>
          <w:u w:val="single"/>
        </w:rPr>
        <w:t>Academic Integrity</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815D4F" w:rsidRPr="00815D4F" w:rsidRDefault="00815D4F" w:rsidP="00815D4F">
      <w:pPr>
        <w:spacing w:before="100" w:beforeAutospacing="1" w:after="240" w:line="240" w:lineRule="auto"/>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815D4F" w:rsidRPr="00815D4F" w:rsidRDefault="00815D4F" w:rsidP="00815D4F">
      <w:pPr>
        <w:keepNext/>
        <w:spacing w:before="240" w:after="6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28"/>
          <w:szCs w:val="28"/>
        </w:rPr>
        <w:t> </w:t>
      </w: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p>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tbl>
      <w:tblPr>
        <w:tblW w:w="0" w:type="auto"/>
        <w:tblInd w:w="720" w:type="dxa"/>
        <w:tblCellMar>
          <w:left w:w="0" w:type="dxa"/>
          <w:right w:w="0" w:type="dxa"/>
        </w:tblCellMar>
        <w:tblLook w:val="04A0" w:firstRow="1" w:lastRow="0" w:firstColumn="1" w:lastColumn="0" w:noHBand="0" w:noVBand="1"/>
      </w:tblPr>
      <w:tblGrid>
        <w:gridCol w:w="305"/>
        <w:gridCol w:w="2661"/>
        <w:gridCol w:w="305"/>
      </w:tblGrid>
      <w:tr w:rsidR="00815D4F" w:rsidRPr="00815D4F" w:rsidTr="00815D4F">
        <w:tc>
          <w:tcPr>
            <w:tcW w:w="0" w:type="auto"/>
            <w:tcMar>
              <w:top w:w="0" w:type="dxa"/>
              <w:left w:w="108" w:type="dxa"/>
              <w:bottom w:w="0" w:type="dxa"/>
              <w:right w:w="108" w:type="dxa"/>
            </w:tcMa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Arial" w:eastAsia="Times New Roman" w:hAnsi="Arial" w:cs="Arial"/>
                <w:color w:val="000000"/>
                <w:sz w:val="32"/>
                <w:szCs w:val="32"/>
              </w:rPr>
              <w:lastRenderedPageBreak/>
              <w:t> </w:t>
            </w:r>
          </w:p>
        </w:tc>
        <w:tc>
          <w:tcPr>
            <w:tcW w:w="0" w:type="auto"/>
            <w:tcMar>
              <w:top w:w="0" w:type="dxa"/>
              <w:left w:w="108" w:type="dxa"/>
              <w:bottom w:w="0" w:type="dxa"/>
              <w:right w:w="108" w:type="dxa"/>
            </w:tcMar>
            <w:hideMark/>
          </w:tcPr>
          <w:p w:rsidR="00815D4F" w:rsidRPr="00815D4F" w:rsidRDefault="00815D4F" w:rsidP="00815D4F">
            <w:pPr>
              <w:spacing w:before="100" w:beforeAutospacing="1" w:after="240" w:line="240" w:lineRule="auto"/>
              <w:jc w:val="center"/>
              <w:rPr>
                <w:rFonts w:ascii="inherit" w:eastAsia="Times New Roman" w:hAnsi="inherit" w:cs="Times New Roman"/>
                <w:color w:val="000000"/>
                <w:sz w:val="18"/>
                <w:szCs w:val="18"/>
              </w:rPr>
            </w:pPr>
            <w:hyperlink r:id="rId9" w:history="1">
              <w:r w:rsidRPr="00815D4F">
                <w:rPr>
                  <w:rFonts w:ascii="inherit" w:eastAsia="Times New Roman" w:hAnsi="inherit" w:cs="Times New Roman"/>
                  <w:b/>
                  <w:bCs/>
                  <w:color w:val="1874A4"/>
                  <w:sz w:val="32"/>
                  <w:szCs w:val="32"/>
                </w:rPr>
                <w:t>TRCC Homepage</w:t>
              </w:r>
            </w:hyperlink>
          </w:p>
        </w:tc>
        <w:tc>
          <w:tcPr>
            <w:tcW w:w="0" w:type="auto"/>
            <w:tcMar>
              <w:top w:w="0" w:type="dxa"/>
              <w:left w:w="108" w:type="dxa"/>
              <w:bottom w:w="0" w:type="dxa"/>
              <w:right w:w="108" w:type="dxa"/>
            </w:tcMar>
            <w:hideMark/>
          </w:tcPr>
          <w:p w:rsidR="00815D4F" w:rsidRPr="00815D4F" w:rsidRDefault="00815D4F" w:rsidP="00815D4F">
            <w:pPr>
              <w:spacing w:before="100" w:beforeAutospacing="1" w:after="240" w:line="240" w:lineRule="auto"/>
              <w:rPr>
                <w:rFonts w:ascii="inherit" w:eastAsia="Times New Roman" w:hAnsi="inherit" w:cs="Times New Roman"/>
                <w:color w:val="000000"/>
                <w:sz w:val="18"/>
                <w:szCs w:val="18"/>
              </w:rPr>
            </w:pPr>
            <w:r w:rsidRPr="00815D4F">
              <w:rPr>
                <w:rFonts w:ascii="Arial" w:eastAsia="Times New Roman" w:hAnsi="Arial" w:cs="Arial"/>
                <w:color w:val="000000"/>
                <w:sz w:val="32"/>
                <w:szCs w:val="32"/>
              </w:rPr>
              <w:t> </w:t>
            </w:r>
          </w:p>
        </w:tc>
      </w:tr>
    </w:tbl>
    <w:p w:rsidR="00815D4F" w:rsidRPr="00815D4F" w:rsidRDefault="00815D4F" w:rsidP="00815D4F">
      <w:pPr>
        <w:spacing w:before="100" w:beforeAutospacing="1" w:after="240" w:line="240" w:lineRule="auto"/>
        <w:ind w:left="720"/>
        <w:rPr>
          <w:rFonts w:ascii="Verdana" w:eastAsia="Times New Roman" w:hAnsi="Verdana" w:cs="Times New Roman"/>
          <w:color w:val="000000"/>
          <w:sz w:val="18"/>
          <w:szCs w:val="18"/>
        </w:rPr>
      </w:pPr>
      <w:r w:rsidRPr="00815D4F">
        <w:rPr>
          <w:rFonts w:ascii="Verdana" w:eastAsia="Times New Roman" w:hAnsi="Verdana" w:cs="Times New Roman"/>
          <w:color w:val="000000"/>
          <w:sz w:val="18"/>
          <w:szCs w:val="18"/>
        </w:rPr>
        <w:t> </w:t>
      </w:r>
    </w:p>
    <w:p w:rsidR="007743CD" w:rsidRDefault="007743CD"/>
    <w:sectPr w:rsidR="0077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4B29"/>
    <w:multiLevelType w:val="multilevel"/>
    <w:tmpl w:val="44C6E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D027D"/>
    <w:multiLevelType w:val="multilevel"/>
    <w:tmpl w:val="24009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D0FC6"/>
    <w:multiLevelType w:val="multilevel"/>
    <w:tmpl w:val="BC442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15D9C"/>
    <w:multiLevelType w:val="multilevel"/>
    <w:tmpl w:val="FD94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80718"/>
    <w:multiLevelType w:val="multilevel"/>
    <w:tmpl w:val="8DFA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F"/>
    <w:rsid w:val="007743CD"/>
    <w:rsid w:val="0081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B86A-5C6E-4EB1-BD6C-A2FBA0A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D4F"/>
    <w:rPr>
      <w:strike w:val="0"/>
      <w:dstrike w:val="0"/>
      <w:color w:val="1874A4"/>
      <w:u w:val="none"/>
      <w:effect w:val="none"/>
    </w:rPr>
  </w:style>
  <w:style w:type="paragraph" w:styleId="NormalWeb">
    <w:name w:val="Normal (Web)"/>
    <w:basedOn w:val="Normal"/>
    <w:uiPriority w:val="99"/>
    <w:semiHidden/>
    <w:unhideWhenUsed/>
    <w:rsid w:val="00815D4F"/>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815D4F"/>
    <w:pPr>
      <w:spacing w:before="100" w:beforeAutospacing="1" w:after="240"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815D4F"/>
  </w:style>
  <w:style w:type="paragraph" w:styleId="BodyText">
    <w:name w:val="Body Text"/>
    <w:basedOn w:val="Normal"/>
    <w:link w:val="BodyTextChar"/>
    <w:uiPriority w:val="99"/>
    <w:semiHidden/>
    <w:unhideWhenUsed/>
    <w:rsid w:val="00815D4F"/>
    <w:pPr>
      <w:spacing w:before="100" w:beforeAutospacing="1"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15D4F"/>
    <w:rPr>
      <w:rFonts w:ascii="Times New Roman" w:eastAsia="Times New Roman" w:hAnsi="Times New Roman" w:cs="Times New Roman"/>
      <w:sz w:val="24"/>
      <w:szCs w:val="24"/>
    </w:rPr>
  </w:style>
  <w:style w:type="paragraph" w:customStyle="1" w:styleId="xmsonormal">
    <w:name w:val="xmsonormal"/>
    <w:basedOn w:val="Normal"/>
    <w:rsid w:val="00815D4F"/>
    <w:pPr>
      <w:spacing w:before="100" w:beforeAutospacing="1" w:after="240"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815D4F"/>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08204">
      <w:bodyDiv w:val="1"/>
      <w:marLeft w:val="0"/>
      <w:marRight w:val="0"/>
      <w:marTop w:val="0"/>
      <w:marBottom w:val="0"/>
      <w:divBdr>
        <w:top w:val="none" w:sz="0" w:space="0" w:color="auto"/>
        <w:left w:val="none" w:sz="0" w:space="0" w:color="auto"/>
        <w:bottom w:val="none" w:sz="0" w:space="0" w:color="auto"/>
        <w:right w:val="none" w:sz="0" w:space="0" w:color="auto"/>
      </w:divBdr>
      <w:divsChild>
        <w:div w:id="207797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3" Type="http://schemas.openxmlformats.org/officeDocument/2006/relationships/settings" Target="settings.xml"/><Relationship Id="rId7" Type="http://schemas.openxmlformats.org/officeDocument/2006/relationships/hyperlink" Target="http://www.trcc.commnet.edu/Prog_Study/Soc_Sciences/history/careeropportunit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hanover.edu/why.html" TargetMode="External"/><Relationship Id="rId11" Type="http://schemas.openxmlformats.org/officeDocument/2006/relationships/theme" Target="theme/theme1.xml"/><Relationship Id="rId5" Type="http://schemas.openxmlformats.org/officeDocument/2006/relationships/hyperlink" Target="mailto:rseckla@trcc.comm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Seckla, Richard E</dc:creator>
  <cp:keywords/>
  <dc:description/>
  <cp:lastModifiedBy>Seckla, Richard E</cp:lastModifiedBy>
  <cp:revision>1</cp:revision>
  <dcterms:created xsi:type="dcterms:W3CDTF">2018-09-17T13:43:00Z</dcterms:created>
  <dcterms:modified xsi:type="dcterms:W3CDTF">2018-09-17T13:47:00Z</dcterms:modified>
</cp:coreProperties>
</file>