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9EF" w:rsidRPr="00C749EF" w:rsidRDefault="00C749EF" w:rsidP="00B40AEC">
      <w:pPr>
        <w:pBdr>
          <w:top w:val="double" w:sz="4" w:space="1" w:color="auto"/>
          <w:left w:val="double" w:sz="4" w:space="4" w:color="auto"/>
          <w:bottom w:val="double" w:sz="4" w:space="1" w:color="auto"/>
          <w:right w:val="double" w:sz="4" w:space="4" w:color="auto"/>
        </w:pBdr>
        <w:shd w:val="clear" w:color="auto" w:fill="D9D9D9" w:themeFill="background1" w:themeFillShade="D9"/>
        <w:contextualSpacing/>
        <w:jc w:val="center"/>
        <w:rPr>
          <w:b/>
          <w:sz w:val="16"/>
          <w:szCs w:val="16"/>
        </w:rPr>
      </w:pPr>
    </w:p>
    <w:p w:rsidR="00053451" w:rsidRPr="0082449F" w:rsidRDefault="009A5E27" w:rsidP="00B40AEC">
      <w:pPr>
        <w:pBdr>
          <w:top w:val="double" w:sz="4" w:space="1" w:color="auto"/>
          <w:left w:val="double" w:sz="4" w:space="4" w:color="auto"/>
          <w:bottom w:val="double" w:sz="4" w:space="1" w:color="auto"/>
          <w:right w:val="double" w:sz="4" w:space="4" w:color="auto"/>
        </w:pBdr>
        <w:shd w:val="clear" w:color="auto" w:fill="D9D9D9" w:themeFill="background1" w:themeFillShade="D9"/>
        <w:jc w:val="center"/>
        <w:rPr>
          <w:b/>
          <w:sz w:val="40"/>
          <w:szCs w:val="40"/>
        </w:rPr>
      </w:pPr>
      <w:r w:rsidRPr="0082449F">
        <w:rPr>
          <w:b/>
          <w:sz w:val="40"/>
          <w:szCs w:val="40"/>
        </w:rPr>
        <w:t>Connecticut State Colleges and Universities</w:t>
      </w:r>
    </w:p>
    <w:p w:rsidR="009A5E27" w:rsidRPr="0082449F" w:rsidRDefault="009A5E27" w:rsidP="00B40AEC">
      <w:pPr>
        <w:pBdr>
          <w:top w:val="double" w:sz="4" w:space="1" w:color="auto"/>
          <w:left w:val="double" w:sz="4" w:space="4" w:color="auto"/>
          <w:bottom w:val="double" w:sz="4" w:space="1" w:color="auto"/>
          <w:right w:val="double" w:sz="4" w:space="4" w:color="auto"/>
        </w:pBdr>
        <w:shd w:val="clear" w:color="auto" w:fill="D9D9D9" w:themeFill="background1" w:themeFillShade="D9"/>
        <w:jc w:val="center"/>
        <w:rPr>
          <w:b/>
          <w:sz w:val="36"/>
          <w:szCs w:val="36"/>
        </w:rPr>
      </w:pPr>
      <w:r w:rsidRPr="0082449F">
        <w:rPr>
          <w:b/>
          <w:sz w:val="36"/>
          <w:szCs w:val="36"/>
        </w:rPr>
        <w:t>Academic Program Review</w:t>
      </w:r>
    </w:p>
    <w:p w:rsidR="009A5E27" w:rsidRDefault="009A5E27" w:rsidP="00B40AEC">
      <w:pPr>
        <w:pBdr>
          <w:top w:val="double" w:sz="4" w:space="1" w:color="auto"/>
          <w:left w:val="double" w:sz="4" w:space="4" w:color="auto"/>
          <w:bottom w:val="double" w:sz="4" w:space="1" w:color="auto"/>
          <w:right w:val="double" w:sz="4" w:space="4" w:color="auto"/>
        </w:pBdr>
        <w:shd w:val="clear" w:color="auto" w:fill="D9D9D9" w:themeFill="background1" w:themeFillShade="D9"/>
        <w:spacing w:after="0"/>
        <w:jc w:val="center"/>
        <w:rPr>
          <w:b/>
          <w:sz w:val="32"/>
          <w:szCs w:val="32"/>
        </w:rPr>
      </w:pPr>
      <w:r w:rsidRPr="0082449F">
        <w:rPr>
          <w:b/>
          <w:sz w:val="32"/>
          <w:szCs w:val="32"/>
        </w:rPr>
        <w:t>Procedural Guideli</w:t>
      </w:r>
      <w:r w:rsidR="00D948E3">
        <w:rPr>
          <w:b/>
          <w:sz w:val="32"/>
          <w:szCs w:val="32"/>
        </w:rPr>
        <w:t>nes: Student Learning Outcomes</w:t>
      </w:r>
      <w:r w:rsidR="0082449F">
        <w:rPr>
          <w:b/>
          <w:sz w:val="32"/>
          <w:szCs w:val="32"/>
        </w:rPr>
        <w:t xml:space="preserve"> Assessments</w:t>
      </w:r>
    </w:p>
    <w:p w:rsidR="00C749EF" w:rsidRPr="00C749EF" w:rsidRDefault="00C749EF" w:rsidP="00B40AEC">
      <w:pPr>
        <w:pBdr>
          <w:top w:val="double" w:sz="4" w:space="1" w:color="auto"/>
          <w:left w:val="double" w:sz="4" w:space="4" w:color="auto"/>
          <w:bottom w:val="double" w:sz="4" w:space="1" w:color="auto"/>
          <w:right w:val="double" w:sz="4" w:space="4" w:color="auto"/>
        </w:pBdr>
        <w:shd w:val="clear" w:color="auto" w:fill="D9D9D9" w:themeFill="background1" w:themeFillShade="D9"/>
        <w:spacing w:after="0"/>
        <w:jc w:val="center"/>
        <w:rPr>
          <w:b/>
          <w:sz w:val="16"/>
          <w:szCs w:val="16"/>
        </w:rPr>
      </w:pPr>
    </w:p>
    <w:p w:rsidR="00C749EF" w:rsidRPr="00C749EF" w:rsidRDefault="00C749EF" w:rsidP="00C749EF">
      <w:pPr>
        <w:spacing w:after="120"/>
        <w:jc w:val="center"/>
        <w:rPr>
          <w:b/>
          <w:sz w:val="16"/>
          <w:szCs w:val="16"/>
        </w:rPr>
      </w:pPr>
    </w:p>
    <w:p w:rsidR="003D466F" w:rsidRDefault="003B1EB4" w:rsidP="00367575">
      <w:pPr>
        <w:jc w:val="both"/>
      </w:pPr>
      <w:r>
        <w:t xml:space="preserve">Institutions of higher education </w:t>
      </w:r>
      <w:r w:rsidR="00172ADE">
        <w:t xml:space="preserve">varyingly </w:t>
      </w:r>
      <w:r w:rsidR="00A10D94">
        <w:t>defin</w:t>
      </w:r>
      <w:r>
        <w:t>e their educational objectives -</w:t>
      </w:r>
      <w:r w:rsidR="00A83044">
        <w:t xml:space="preserve"> </w:t>
      </w:r>
      <w:r w:rsidR="00A10D94">
        <w:t>student achievement</w:t>
      </w:r>
      <w:r w:rsidR="00A83044">
        <w:t xml:space="preserve"> standards</w:t>
      </w:r>
      <w:r>
        <w:t xml:space="preserve"> and</w:t>
      </w:r>
      <w:r w:rsidR="0012489F">
        <w:t xml:space="preserve"> expectations</w:t>
      </w:r>
      <w:r>
        <w:t xml:space="preserve"> of students’ learning gains.  </w:t>
      </w:r>
      <w:r w:rsidR="00DF7708">
        <w:t>Accordingly</w:t>
      </w:r>
      <w:r>
        <w:t>,</w:t>
      </w:r>
      <w:r w:rsidR="00132FF9">
        <w:t xml:space="preserve"> </w:t>
      </w:r>
      <w:r>
        <w:t xml:space="preserve">academic programs prescribe </w:t>
      </w:r>
      <w:r w:rsidR="00132FF9">
        <w:t>student learning outcomes</w:t>
      </w:r>
      <w:r>
        <w:t xml:space="preserve"> (SLO)</w:t>
      </w:r>
      <w:r w:rsidR="00DF7708">
        <w:t xml:space="preserve"> that are aligned with the </w:t>
      </w:r>
      <w:r w:rsidR="00976940">
        <w:t xml:space="preserve">institution’s </w:t>
      </w:r>
      <w:r w:rsidR="00DF7708">
        <w:t>educational objectives.  Assessments of the student learning outcomes determine</w:t>
      </w:r>
      <w:r w:rsidR="00041E10">
        <w:t xml:space="preserve"> the degree to which the objectives are achieved</w:t>
      </w:r>
      <w:r w:rsidR="00132FF9">
        <w:t xml:space="preserve">.  </w:t>
      </w:r>
      <w:r w:rsidR="003D466F">
        <w:t>To prom</w:t>
      </w:r>
      <w:r w:rsidR="009F0A17">
        <w:t>ote clarity in this guidance</w:t>
      </w:r>
      <w:r w:rsidR="009B19B5">
        <w:t>, we cite the definition of the National Institute for Learning Outcomes Assessment:</w:t>
      </w:r>
    </w:p>
    <w:p w:rsidR="003D466F" w:rsidRDefault="003D466F" w:rsidP="009B19B5">
      <w:pPr>
        <w:ind w:left="432" w:right="432"/>
        <w:jc w:val="both"/>
      </w:pPr>
      <w:r>
        <w:t>Student learning outcomes statements clearly state the expected knowledge, skills, attitudes, competencies, and habits of mind that students are expected to acquire at an institution of higher education.  Transparent student learning outcomes statements are:</w:t>
      </w:r>
    </w:p>
    <w:p w:rsidR="003D466F" w:rsidRDefault="003D466F" w:rsidP="009B19B5">
      <w:pPr>
        <w:pStyle w:val="ListParagraph"/>
        <w:numPr>
          <w:ilvl w:val="0"/>
          <w:numId w:val="2"/>
        </w:numPr>
        <w:ind w:left="1224"/>
      </w:pPr>
      <w:r>
        <w:t>Specific to institutional level and/or program level</w:t>
      </w:r>
    </w:p>
    <w:p w:rsidR="003D466F" w:rsidRDefault="003D466F" w:rsidP="009B19B5">
      <w:pPr>
        <w:pStyle w:val="ListParagraph"/>
        <w:numPr>
          <w:ilvl w:val="0"/>
          <w:numId w:val="2"/>
        </w:numPr>
        <w:ind w:left="1224"/>
      </w:pPr>
      <w:r>
        <w:t>Clearly expressed and understandable by multiple audiences</w:t>
      </w:r>
    </w:p>
    <w:p w:rsidR="003D466F" w:rsidRDefault="003D466F" w:rsidP="009B19B5">
      <w:pPr>
        <w:pStyle w:val="ListParagraph"/>
        <w:numPr>
          <w:ilvl w:val="0"/>
          <w:numId w:val="2"/>
        </w:numPr>
        <w:ind w:left="1224"/>
      </w:pPr>
      <w:r>
        <w:t>Prominently posted at or linked to multiple places across the website</w:t>
      </w:r>
    </w:p>
    <w:p w:rsidR="003D466F" w:rsidRDefault="003D466F" w:rsidP="009B19B5">
      <w:pPr>
        <w:pStyle w:val="ListParagraph"/>
        <w:numPr>
          <w:ilvl w:val="0"/>
          <w:numId w:val="2"/>
        </w:numPr>
        <w:ind w:left="1224"/>
      </w:pPr>
      <w:r>
        <w:t>Updated regularly to reflect current outcomes</w:t>
      </w:r>
    </w:p>
    <w:p w:rsidR="003D466F" w:rsidRDefault="003D466F" w:rsidP="009B19B5">
      <w:pPr>
        <w:pStyle w:val="ListParagraph"/>
        <w:numPr>
          <w:ilvl w:val="0"/>
          <w:numId w:val="2"/>
        </w:numPr>
        <w:ind w:left="1224"/>
      </w:pPr>
      <w:r>
        <w:t>Receptive to feedback or comments on the quality and utility of the information provided</w:t>
      </w:r>
    </w:p>
    <w:p w:rsidR="006F0B2C" w:rsidRDefault="0018020F" w:rsidP="00367575">
      <w:pPr>
        <w:jc w:val="both"/>
      </w:pPr>
      <w:r>
        <w:t>Operationally,</w:t>
      </w:r>
      <w:r w:rsidR="009F0A17">
        <w:t xml:space="preserve"> </w:t>
      </w:r>
      <w:r w:rsidR="009F0A17" w:rsidRPr="009F0A17">
        <w:t>campus plans for gathering evidence of student learning might incl</w:t>
      </w:r>
      <w:r w:rsidR="00AA7464">
        <w:t>ude institution-wide</w:t>
      </w:r>
      <w:r w:rsidR="00640631">
        <w:t>, departmental</w:t>
      </w:r>
      <w:r w:rsidR="00AA7464">
        <w:t xml:space="preserve"> or program-</w:t>
      </w:r>
      <w:r w:rsidR="009F0A17" w:rsidRPr="009F0A17">
        <w:t>specific approaches that convey how student learning will be assessed</w:t>
      </w:r>
      <w:r w:rsidR="009F0A17">
        <w:t>.</w:t>
      </w:r>
      <w:r>
        <w:t xml:space="preserve"> </w:t>
      </w:r>
      <w:r w:rsidR="009F0A17">
        <w:t xml:space="preserve"> </w:t>
      </w:r>
      <w:r w:rsidR="00A10D94" w:rsidRPr="009F0A17">
        <w:t>Additionally, a</w:t>
      </w:r>
      <w:r w:rsidR="009A5E27" w:rsidRPr="009F0A17">
        <w:t xml:space="preserve">cademic programs </w:t>
      </w:r>
      <w:r w:rsidR="0022563D">
        <w:t xml:space="preserve">alternatively </w:t>
      </w:r>
      <w:r w:rsidR="009A5E27" w:rsidRPr="009F0A17">
        <w:t>utilize a numb</w:t>
      </w:r>
      <w:r w:rsidR="0082449F" w:rsidRPr="009F0A17">
        <w:t xml:space="preserve">er of </w:t>
      </w:r>
      <w:r w:rsidR="00172ADE" w:rsidRPr="009F0A17">
        <w:t xml:space="preserve">diverse </w:t>
      </w:r>
      <w:r w:rsidR="0082449F" w:rsidRPr="009F0A17">
        <w:t>measures</w:t>
      </w:r>
      <w:r w:rsidR="00041E10">
        <w:t>, designed to provide credible evidence of the extent to which</w:t>
      </w:r>
      <w:r w:rsidR="00AA7464">
        <w:t xml:space="preserve"> students have achieved the learning outcomes.</w:t>
      </w:r>
      <w:r w:rsidR="0054200C" w:rsidRPr="009F0A17">
        <w:t xml:space="preserve">  </w:t>
      </w:r>
      <w:r w:rsidR="0082449F" w:rsidRPr="009F0A17">
        <w:t>These measures are</w:t>
      </w:r>
      <w:r w:rsidRPr="009F0A17">
        <w:t xml:space="preserve"> employed at various times along</w:t>
      </w:r>
      <w:r w:rsidR="0082449F" w:rsidRPr="009F0A17">
        <w:t xml:space="preserve"> students’ progression toward graduation and </w:t>
      </w:r>
      <w:r w:rsidR="00597B6F">
        <w:t xml:space="preserve">sometimes </w:t>
      </w:r>
      <w:r w:rsidR="0082449F" w:rsidRPr="009F0A17">
        <w:t>beyond graduation into graduate study and employment, as well.</w:t>
      </w:r>
      <w:r w:rsidR="0082449F">
        <w:t xml:space="preserve">  </w:t>
      </w:r>
      <w:r w:rsidR="006F0B2C">
        <w:t xml:space="preserve">Several </w:t>
      </w:r>
      <w:r>
        <w:t xml:space="preserve">SLO assessment </w:t>
      </w:r>
      <w:r w:rsidR="0054200C">
        <w:t xml:space="preserve">measures </w:t>
      </w:r>
      <w:r w:rsidR="006F0B2C">
        <w:t>have been deemed to</w:t>
      </w:r>
      <w:r w:rsidR="0054200C">
        <w:t xml:space="preserve"> provide rich evidence that can be analyzed for multiple and/or specific outcomes.  </w:t>
      </w:r>
      <w:r w:rsidR="006F0B2C">
        <w:t>They include:</w:t>
      </w:r>
    </w:p>
    <w:p w:rsidR="006F0B2C" w:rsidRDefault="006F0B2C" w:rsidP="00CF030F">
      <w:pPr>
        <w:pStyle w:val="ListParagraph"/>
        <w:numPr>
          <w:ilvl w:val="0"/>
          <w:numId w:val="1"/>
        </w:numPr>
      </w:pPr>
      <w:r>
        <w:t xml:space="preserve">capstones, </w:t>
      </w:r>
    </w:p>
    <w:p w:rsidR="006F0B2C" w:rsidRDefault="006F0B2C" w:rsidP="006F0B2C">
      <w:pPr>
        <w:pStyle w:val="ListParagraph"/>
        <w:numPr>
          <w:ilvl w:val="0"/>
          <w:numId w:val="1"/>
        </w:numPr>
      </w:pPr>
      <w:r>
        <w:t xml:space="preserve">portfolios, </w:t>
      </w:r>
    </w:p>
    <w:p w:rsidR="006F0B2C" w:rsidRDefault="006F0B2C" w:rsidP="006F0B2C">
      <w:pPr>
        <w:pStyle w:val="ListParagraph"/>
        <w:numPr>
          <w:ilvl w:val="0"/>
          <w:numId w:val="1"/>
        </w:numPr>
      </w:pPr>
      <w:r>
        <w:t xml:space="preserve">research projects, </w:t>
      </w:r>
    </w:p>
    <w:p w:rsidR="006F0B2C" w:rsidRDefault="006F0B2C" w:rsidP="006F0B2C">
      <w:pPr>
        <w:pStyle w:val="ListParagraph"/>
        <w:numPr>
          <w:ilvl w:val="0"/>
          <w:numId w:val="1"/>
        </w:numPr>
      </w:pPr>
      <w:r>
        <w:t xml:space="preserve">embedded, key or signature assignments, </w:t>
      </w:r>
    </w:p>
    <w:p w:rsidR="006F0B2C" w:rsidRDefault="009163A6" w:rsidP="006F0B2C">
      <w:pPr>
        <w:pStyle w:val="ListParagraph"/>
        <w:numPr>
          <w:ilvl w:val="0"/>
          <w:numId w:val="1"/>
        </w:numPr>
      </w:pPr>
      <w:r>
        <w:t>internships,</w:t>
      </w:r>
    </w:p>
    <w:p w:rsidR="00055D20" w:rsidRDefault="00055D20" w:rsidP="006F0B2C">
      <w:pPr>
        <w:pStyle w:val="ListParagraph"/>
        <w:numPr>
          <w:ilvl w:val="0"/>
          <w:numId w:val="1"/>
        </w:numPr>
      </w:pPr>
      <w:r>
        <w:t>rubrics and scoring guides</w:t>
      </w:r>
      <w:r w:rsidR="00C6125C">
        <w:t>,</w:t>
      </w:r>
    </w:p>
    <w:p w:rsidR="00DD26AF" w:rsidRDefault="00DD26AF" w:rsidP="006F0B2C">
      <w:pPr>
        <w:pStyle w:val="ListParagraph"/>
        <w:numPr>
          <w:ilvl w:val="0"/>
          <w:numId w:val="1"/>
        </w:numPr>
      </w:pPr>
      <w:r>
        <w:t>licensure and certification examinations,</w:t>
      </w:r>
    </w:p>
    <w:p w:rsidR="006F0B2C" w:rsidRDefault="006F0B2C" w:rsidP="006F0B2C">
      <w:pPr>
        <w:pStyle w:val="ListParagraph"/>
        <w:numPr>
          <w:ilvl w:val="0"/>
          <w:numId w:val="1"/>
        </w:numPr>
      </w:pPr>
      <w:r>
        <w:t>comprehensive examinations</w:t>
      </w:r>
      <w:r w:rsidR="009163A6">
        <w:t>, and</w:t>
      </w:r>
    </w:p>
    <w:p w:rsidR="009163A6" w:rsidRDefault="009163A6" w:rsidP="006F0B2C">
      <w:pPr>
        <w:pStyle w:val="ListParagraph"/>
        <w:numPr>
          <w:ilvl w:val="0"/>
          <w:numId w:val="1"/>
        </w:numPr>
      </w:pPr>
      <w:r>
        <w:t>student surveys</w:t>
      </w:r>
    </w:p>
    <w:p w:rsidR="00597B6F" w:rsidRDefault="00F320FA" w:rsidP="00367575">
      <w:pPr>
        <w:jc w:val="both"/>
      </w:pPr>
      <w:r>
        <w:t xml:space="preserve">In its annual Academic Program Review process, the System Office of the Provost and Senior Vice President for Academic and Student </w:t>
      </w:r>
      <w:r w:rsidR="00C65E86">
        <w:t>Affairs, requires each</w:t>
      </w:r>
      <w:r>
        <w:t xml:space="preserve"> academic program to </w:t>
      </w:r>
      <w:r w:rsidR="009317D6">
        <w:t xml:space="preserve">succinctly </w:t>
      </w:r>
      <w:r>
        <w:lastRenderedPageBreak/>
        <w:t>report</w:t>
      </w:r>
      <w:r w:rsidR="00C65E86">
        <w:t xml:space="preserve"> on</w:t>
      </w:r>
      <w:r w:rsidR="00597B6F">
        <w:t xml:space="preserve"> its</w:t>
      </w:r>
      <w:r w:rsidR="00C65E86">
        <w:t xml:space="preserve"> </w:t>
      </w:r>
      <w:r w:rsidR="00597B6F">
        <w:t>SLO assessment(s) that were conducted at the point closest to graduation.  This narrowly focused report should summarize the following:</w:t>
      </w:r>
    </w:p>
    <w:p w:rsidR="00597B6F" w:rsidRDefault="0071329A" w:rsidP="00CF030F">
      <w:pPr>
        <w:pStyle w:val="ListParagraph"/>
        <w:numPr>
          <w:ilvl w:val="0"/>
          <w:numId w:val="3"/>
        </w:numPr>
      </w:pPr>
      <w:r>
        <w:t>the</w:t>
      </w:r>
      <w:r w:rsidR="00B009C2">
        <w:t xml:space="preserve"> </w:t>
      </w:r>
      <w:r w:rsidR="00370DA9">
        <w:t xml:space="preserve">SLO </w:t>
      </w:r>
      <w:r w:rsidR="00B009C2">
        <w:t>measure</w:t>
      </w:r>
      <w:r w:rsidR="007A6B0F">
        <w:t xml:space="preserve">(s) </w:t>
      </w:r>
      <w:r w:rsidR="00055D20">
        <w:t xml:space="preserve">employed, </w:t>
      </w:r>
    </w:p>
    <w:p w:rsidR="00597B6F" w:rsidRDefault="00E24E7E" w:rsidP="00597B6F">
      <w:pPr>
        <w:pStyle w:val="ListParagraph"/>
        <w:numPr>
          <w:ilvl w:val="0"/>
          <w:numId w:val="3"/>
        </w:numPr>
      </w:pPr>
      <w:r>
        <w:t xml:space="preserve">conclusions from the </w:t>
      </w:r>
      <w:r w:rsidR="007A6B0F">
        <w:t xml:space="preserve">analysis of </w:t>
      </w:r>
      <w:r w:rsidR="00370DA9">
        <w:t>aggregated</w:t>
      </w:r>
      <w:r>
        <w:t xml:space="preserve"> </w:t>
      </w:r>
      <w:r w:rsidR="00A83044">
        <w:t xml:space="preserve">outcomes </w:t>
      </w:r>
      <w:r>
        <w:t>data</w:t>
      </w:r>
      <w:r w:rsidR="00055D20">
        <w:t xml:space="preserve">, and </w:t>
      </w:r>
    </w:p>
    <w:p w:rsidR="00172ADE" w:rsidRDefault="009317D6" w:rsidP="00597B6F">
      <w:pPr>
        <w:pStyle w:val="ListParagraph"/>
        <w:numPr>
          <w:ilvl w:val="0"/>
          <w:numId w:val="3"/>
        </w:numPr>
      </w:pPr>
      <w:r>
        <w:t xml:space="preserve">how the results of the SLO </w:t>
      </w:r>
      <w:r w:rsidR="00055D20">
        <w:t>assessment</w:t>
      </w:r>
      <w:r>
        <w:t xml:space="preserve"> will be utilized to improve the quality of teaching and learning and/or other element of program effectiveness</w:t>
      </w:r>
      <w:r w:rsidR="00370DA9">
        <w:t xml:space="preserve"> (i.e. the program’s continuous quality improvement plan)</w:t>
      </w:r>
    </w:p>
    <w:p w:rsidR="008B5C04" w:rsidRDefault="00367575" w:rsidP="00654FAC">
      <w:pPr>
        <w:ind w:left="864" w:hanging="864"/>
      </w:pPr>
      <w:r w:rsidRPr="00367575">
        <w:rPr>
          <w:b/>
        </w:rPr>
        <w:t>NOTE:</w:t>
      </w:r>
      <w:r>
        <w:t xml:space="preserve"> </w:t>
      </w:r>
      <w:r>
        <w:tab/>
      </w:r>
      <w:r w:rsidR="0057770C">
        <w:t>It is instructive to note that the summation requested is akin to</w:t>
      </w:r>
      <w:r>
        <w:t xml:space="preserve"> that of items (3) and (5) </w:t>
      </w:r>
      <w:r w:rsidR="00654FAC">
        <w:t>in the NEASC E Series R</w:t>
      </w:r>
      <w:r w:rsidR="00654FAC">
        <w:t>eport</w:t>
      </w:r>
      <w:r w:rsidR="00654FAC">
        <w:t xml:space="preserve">’s </w:t>
      </w:r>
      <w:r w:rsidRPr="00654FAC">
        <w:rPr>
          <w:i/>
        </w:rPr>
        <w:t>Option E1</w:t>
      </w:r>
      <w:r w:rsidR="00654FAC" w:rsidRPr="00654FAC">
        <w:rPr>
          <w:i/>
        </w:rPr>
        <w:t>: Part A. Inventory of Educational Effectiveness Indicators</w:t>
      </w:r>
      <w:r w:rsidR="00654FAC">
        <w:t>.</w:t>
      </w:r>
      <w:bookmarkStart w:id="0" w:name="_GoBack"/>
      <w:bookmarkEnd w:id="0"/>
    </w:p>
    <w:sectPr w:rsidR="008B5C04" w:rsidSect="00D34D53">
      <w:footerReference w:type="first" r:id="rId8"/>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D53" w:rsidRDefault="00D34D53" w:rsidP="00D34D53">
      <w:pPr>
        <w:spacing w:after="0" w:line="240" w:lineRule="auto"/>
      </w:pPr>
      <w:r>
        <w:separator/>
      </w:r>
    </w:p>
  </w:endnote>
  <w:endnote w:type="continuationSeparator" w:id="0">
    <w:p w:rsidR="00D34D53" w:rsidRDefault="00D34D53" w:rsidP="00D34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D53" w:rsidRDefault="00D34D53" w:rsidP="00D34D53">
    <w:pPr>
      <w:pStyle w:val="Footer"/>
      <w:jc w:val="center"/>
    </w:pPr>
    <w:r>
      <w:t>(</w:t>
    </w:r>
    <w:proofErr w:type="gramStart"/>
    <w:r>
      <w:t>over</w:t>
    </w:r>
    <w:proofErr w:type="gramEnd"/>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D53" w:rsidRDefault="00D34D53" w:rsidP="00D34D53">
      <w:pPr>
        <w:spacing w:after="0" w:line="240" w:lineRule="auto"/>
      </w:pPr>
      <w:r>
        <w:separator/>
      </w:r>
    </w:p>
  </w:footnote>
  <w:footnote w:type="continuationSeparator" w:id="0">
    <w:p w:rsidR="00D34D53" w:rsidRDefault="00D34D53" w:rsidP="00D34D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87D00"/>
    <w:multiLevelType w:val="hybridMultilevel"/>
    <w:tmpl w:val="5EEAD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B81F53"/>
    <w:multiLevelType w:val="hybridMultilevel"/>
    <w:tmpl w:val="AF42E902"/>
    <w:lvl w:ilvl="0" w:tplc="DC728ED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320C0E"/>
    <w:multiLevelType w:val="hybridMultilevel"/>
    <w:tmpl w:val="29D2C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E27"/>
    <w:rsid w:val="00041E10"/>
    <w:rsid w:val="00055D20"/>
    <w:rsid w:val="000E0779"/>
    <w:rsid w:val="0012489F"/>
    <w:rsid w:val="00132FF9"/>
    <w:rsid w:val="0014625A"/>
    <w:rsid w:val="00172ADE"/>
    <w:rsid w:val="0018020F"/>
    <w:rsid w:val="001B0A9E"/>
    <w:rsid w:val="00223618"/>
    <w:rsid w:val="0022563D"/>
    <w:rsid w:val="00367575"/>
    <w:rsid w:val="00370DA9"/>
    <w:rsid w:val="003B1EB4"/>
    <w:rsid w:val="003D466F"/>
    <w:rsid w:val="0048069D"/>
    <w:rsid w:val="0054200C"/>
    <w:rsid w:val="0057770C"/>
    <w:rsid w:val="00597B6F"/>
    <w:rsid w:val="00640631"/>
    <w:rsid w:val="00654FAC"/>
    <w:rsid w:val="006F0B2C"/>
    <w:rsid w:val="0070569A"/>
    <w:rsid w:val="0071329A"/>
    <w:rsid w:val="007A6B0F"/>
    <w:rsid w:val="0082449F"/>
    <w:rsid w:val="00861531"/>
    <w:rsid w:val="008B5C04"/>
    <w:rsid w:val="009163A6"/>
    <w:rsid w:val="009317D6"/>
    <w:rsid w:val="00976940"/>
    <w:rsid w:val="009A5E27"/>
    <w:rsid w:val="009B19B5"/>
    <w:rsid w:val="009F0A17"/>
    <w:rsid w:val="00A10D94"/>
    <w:rsid w:val="00A148A3"/>
    <w:rsid w:val="00A3192A"/>
    <w:rsid w:val="00A83044"/>
    <w:rsid w:val="00AA7464"/>
    <w:rsid w:val="00B009C2"/>
    <w:rsid w:val="00B40AEC"/>
    <w:rsid w:val="00C6125C"/>
    <w:rsid w:val="00C65E86"/>
    <w:rsid w:val="00C749EF"/>
    <w:rsid w:val="00CF030F"/>
    <w:rsid w:val="00D25EAE"/>
    <w:rsid w:val="00D34D53"/>
    <w:rsid w:val="00D948E3"/>
    <w:rsid w:val="00DD26AF"/>
    <w:rsid w:val="00DF7708"/>
    <w:rsid w:val="00E24E7E"/>
    <w:rsid w:val="00F32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D75C9-4156-406C-ABC3-37F45873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B2C"/>
    <w:pPr>
      <w:ind w:left="720"/>
      <w:contextualSpacing/>
    </w:pPr>
  </w:style>
  <w:style w:type="paragraph" w:styleId="Header">
    <w:name w:val="header"/>
    <w:basedOn w:val="Normal"/>
    <w:link w:val="HeaderChar"/>
    <w:uiPriority w:val="99"/>
    <w:unhideWhenUsed/>
    <w:rsid w:val="00D34D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D53"/>
  </w:style>
  <w:style w:type="paragraph" w:styleId="Footer">
    <w:name w:val="footer"/>
    <w:basedOn w:val="Normal"/>
    <w:link w:val="FooterChar"/>
    <w:uiPriority w:val="99"/>
    <w:unhideWhenUsed/>
    <w:rsid w:val="00D34D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D53"/>
  </w:style>
  <w:style w:type="paragraph" w:styleId="BalloonText">
    <w:name w:val="Balloon Text"/>
    <w:basedOn w:val="Normal"/>
    <w:link w:val="BalloonTextChar"/>
    <w:uiPriority w:val="99"/>
    <w:semiHidden/>
    <w:unhideWhenUsed/>
    <w:rsid w:val="000E07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7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182AE-9618-4E23-8E8B-EDB9589EE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CSCU Board of Regents</Company>
  <LinksUpToDate>false</LinksUpToDate>
  <CharactersWithSpaces>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Poole</dc:creator>
  <cp:keywords/>
  <dc:description/>
  <cp:lastModifiedBy>Poole, Arthur</cp:lastModifiedBy>
  <cp:revision>3</cp:revision>
  <cp:lastPrinted>2015-12-07T18:35:00Z</cp:lastPrinted>
  <dcterms:created xsi:type="dcterms:W3CDTF">2015-12-07T18:35:00Z</dcterms:created>
  <dcterms:modified xsi:type="dcterms:W3CDTF">2016-01-20T21:21:00Z</dcterms:modified>
</cp:coreProperties>
</file>